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9" w:rsidRPr="00EE4D38" w:rsidRDefault="00D539B0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>(cidade)</w:t>
      </w:r>
      <w:r w:rsidR="008912C6" w:rsidRPr="00EE4D38">
        <w:rPr>
          <w:rFonts w:cs="Arial"/>
          <w:sz w:val="24"/>
          <w:szCs w:val="24"/>
        </w:rPr>
        <w:t xml:space="preserve">, </w:t>
      </w:r>
      <w:r w:rsidRPr="00EE4D38">
        <w:rPr>
          <w:rFonts w:cs="Arial"/>
          <w:color w:val="0070C0"/>
          <w:sz w:val="24"/>
          <w:szCs w:val="24"/>
        </w:rPr>
        <w:t>(dia)</w:t>
      </w:r>
      <w:r w:rsidR="008912C6" w:rsidRPr="00EE4D38">
        <w:rPr>
          <w:rFonts w:cs="Arial"/>
          <w:color w:val="0070C0"/>
          <w:sz w:val="24"/>
          <w:szCs w:val="24"/>
        </w:rPr>
        <w:t xml:space="preserve"> </w:t>
      </w:r>
      <w:r w:rsidR="008912C6" w:rsidRPr="00EE4D38">
        <w:rPr>
          <w:rFonts w:cs="Arial"/>
          <w:sz w:val="24"/>
          <w:szCs w:val="24"/>
        </w:rPr>
        <w:t xml:space="preserve">de </w:t>
      </w:r>
      <w:r w:rsidRPr="00EE4D38">
        <w:rPr>
          <w:rFonts w:cs="Arial"/>
          <w:color w:val="0070C0"/>
          <w:sz w:val="24"/>
          <w:szCs w:val="24"/>
        </w:rPr>
        <w:t>(mês)</w:t>
      </w:r>
      <w:r w:rsidR="008912C6" w:rsidRPr="00EE4D38">
        <w:rPr>
          <w:rFonts w:cs="Arial"/>
          <w:color w:val="0070C0"/>
          <w:sz w:val="24"/>
          <w:szCs w:val="24"/>
        </w:rPr>
        <w:t xml:space="preserve"> </w:t>
      </w:r>
      <w:r w:rsidR="008912C6" w:rsidRPr="00EE4D38">
        <w:rPr>
          <w:rFonts w:cs="Arial"/>
          <w:sz w:val="24"/>
          <w:szCs w:val="24"/>
        </w:rPr>
        <w:t xml:space="preserve">de </w:t>
      </w:r>
      <w:r w:rsidRPr="00EE4D38">
        <w:rPr>
          <w:rFonts w:cs="Arial"/>
          <w:color w:val="0070C0"/>
          <w:sz w:val="24"/>
          <w:szCs w:val="24"/>
        </w:rPr>
        <w:t>(ano</w:t>
      </w:r>
      <w:bookmarkStart w:id="0" w:name="_GoBack"/>
      <w:bookmarkEnd w:id="0"/>
      <w:r w:rsidR="00693344" w:rsidRPr="00EE4D38">
        <w:rPr>
          <w:rFonts w:cs="Arial"/>
          <w:color w:val="0070C0"/>
          <w:sz w:val="24"/>
          <w:szCs w:val="24"/>
        </w:rPr>
        <w:t>).</w:t>
      </w:r>
    </w:p>
    <w:p w:rsidR="003B0697" w:rsidRPr="00EE4D38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3B0697" w:rsidRPr="00EE4D38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8912C6" w:rsidRPr="00EE4D38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Ao</w:t>
      </w:r>
    </w:p>
    <w:p w:rsidR="002D53FA" w:rsidRPr="00EE4D38" w:rsidRDefault="00DA315F" w:rsidP="00B352F0">
      <w:pPr>
        <w:spacing w:line="360" w:lineRule="auto"/>
        <w:ind w:firstLine="0"/>
        <w:jc w:val="left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>Ministério Público</w:t>
      </w:r>
      <w:r w:rsidR="002D53FA" w:rsidRPr="00EE4D38">
        <w:rPr>
          <w:rFonts w:cs="Arial"/>
          <w:b/>
          <w:sz w:val="24"/>
          <w:szCs w:val="24"/>
        </w:rPr>
        <w:t xml:space="preserve"> </w:t>
      </w:r>
    </w:p>
    <w:p w:rsidR="002D53FA" w:rsidRPr="00BB6098" w:rsidRDefault="007A26D6" w:rsidP="002D53FA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proofErr w:type="gramStart"/>
      <w:r w:rsidRPr="00BB6098">
        <w:rPr>
          <w:rFonts w:cs="Arial"/>
          <w:i/>
          <w:color w:val="0070C0"/>
          <w:sz w:val="24"/>
          <w:szCs w:val="24"/>
        </w:rPr>
        <w:t>(</w:t>
      </w:r>
      <w:r w:rsidR="00A84337" w:rsidRPr="00BB6098">
        <w:rPr>
          <w:rFonts w:cs="Arial"/>
          <w:i/>
          <w:color w:val="0070C0"/>
          <w:sz w:val="24"/>
          <w:szCs w:val="24"/>
        </w:rPr>
        <w:t xml:space="preserve">identificar </w:t>
      </w:r>
      <w:r w:rsidR="002D53FA" w:rsidRPr="00BB6098">
        <w:rPr>
          <w:rFonts w:cs="Arial"/>
          <w:i/>
          <w:color w:val="0070C0"/>
          <w:sz w:val="24"/>
          <w:szCs w:val="24"/>
        </w:rPr>
        <w:t xml:space="preserve">a </w:t>
      </w:r>
      <w:r w:rsidR="00A84337" w:rsidRPr="00BB6098">
        <w:rPr>
          <w:rFonts w:cs="Arial"/>
          <w:i/>
          <w:color w:val="0070C0"/>
          <w:sz w:val="24"/>
          <w:szCs w:val="24"/>
        </w:rPr>
        <w:t xml:space="preserve">unidade mais próxima de você ou do local </w:t>
      </w:r>
      <w:r w:rsidR="003B0697" w:rsidRPr="00BB6098">
        <w:rPr>
          <w:rFonts w:cs="Arial"/>
          <w:i/>
          <w:color w:val="0070C0"/>
          <w:sz w:val="24"/>
          <w:szCs w:val="24"/>
        </w:rPr>
        <w:t xml:space="preserve">em </w:t>
      </w:r>
      <w:r w:rsidR="00A84337" w:rsidRPr="00BB6098">
        <w:rPr>
          <w:rFonts w:cs="Arial"/>
          <w:i/>
          <w:color w:val="0070C0"/>
          <w:sz w:val="24"/>
          <w:szCs w:val="24"/>
        </w:rPr>
        <w:t>que foi veiculada a publicidade</w:t>
      </w:r>
      <w:r w:rsidR="002D53FA" w:rsidRPr="00BB6098">
        <w:rPr>
          <w:rFonts w:cs="Arial"/>
          <w:i/>
          <w:color w:val="0070C0"/>
          <w:sz w:val="24"/>
          <w:szCs w:val="24"/>
        </w:rPr>
        <w:t>, indicando a promotoria com atribuição específica para o tema, se houver.</w:t>
      </w:r>
      <w:proofErr w:type="gramEnd"/>
      <w:r w:rsidR="002D53FA" w:rsidRPr="00BB6098">
        <w:rPr>
          <w:rFonts w:cs="Arial"/>
          <w:i/>
          <w:color w:val="0070C0"/>
          <w:sz w:val="24"/>
          <w:szCs w:val="24"/>
        </w:rPr>
        <w:t xml:space="preserve"> </w:t>
      </w:r>
    </w:p>
    <w:p w:rsidR="003B0697" w:rsidRPr="00BB6098" w:rsidRDefault="003B0697" w:rsidP="002D53FA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proofErr w:type="gramStart"/>
      <w:r w:rsidRPr="00BB6098">
        <w:rPr>
          <w:rFonts w:cs="Arial"/>
          <w:i/>
          <w:color w:val="0070C0"/>
          <w:sz w:val="24"/>
          <w:szCs w:val="24"/>
        </w:rPr>
        <w:t xml:space="preserve">Exemplo: </w:t>
      </w:r>
      <w:r w:rsidR="002D53FA" w:rsidRPr="00BB6098">
        <w:rPr>
          <w:rFonts w:cs="Arial"/>
          <w:i/>
          <w:color w:val="0070C0"/>
          <w:sz w:val="24"/>
          <w:szCs w:val="24"/>
        </w:rPr>
        <w:t xml:space="preserve">Ministério Público do Estado de </w:t>
      </w:r>
      <w:r w:rsidR="00DA315F" w:rsidRPr="00BB6098">
        <w:rPr>
          <w:rFonts w:cs="Arial"/>
          <w:i/>
          <w:color w:val="0070C0"/>
          <w:sz w:val="24"/>
          <w:szCs w:val="24"/>
        </w:rPr>
        <w:t>S</w:t>
      </w:r>
      <w:r w:rsidR="002D53FA" w:rsidRPr="00BB6098">
        <w:rPr>
          <w:rFonts w:cs="Arial"/>
          <w:i/>
          <w:color w:val="0070C0"/>
          <w:sz w:val="24"/>
          <w:szCs w:val="24"/>
        </w:rPr>
        <w:t xml:space="preserve">ão </w:t>
      </w:r>
      <w:r w:rsidR="00DA315F" w:rsidRPr="00BB6098">
        <w:rPr>
          <w:rFonts w:cs="Arial"/>
          <w:i/>
          <w:color w:val="0070C0"/>
          <w:sz w:val="24"/>
          <w:szCs w:val="24"/>
        </w:rPr>
        <w:t>P</w:t>
      </w:r>
      <w:r w:rsidR="002D53FA" w:rsidRPr="00BB6098">
        <w:rPr>
          <w:rFonts w:cs="Arial"/>
          <w:i/>
          <w:color w:val="0070C0"/>
          <w:sz w:val="24"/>
          <w:szCs w:val="24"/>
        </w:rPr>
        <w:t>aulo – Promotoria de Justiça dos Interesses Difusos e Coletivos da Infância e Juventude; Ministério Público do Estado de São Paulo – Promotoria de Justiça do Consumidor</w:t>
      </w:r>
      <w:r w:rsidRPr="00BB6098">
        <w:rPr>
          <w:rFonts w:cs="Arial"/>
          <w:i/>
          <w:color w:val="0070C0"/>
          <w:sz w:val="24"/>
          <w:szCs w:val="24"/>
        </w:rPr>
        <w:t>)</w:t>
      </w:r>
      <w:proofErr w:type="gramEnd"/>
      <w:r w:rsidRPr="00BB6098">
        <w:rPr>
          <w:rFonts w:cs="Arial"/>
          <w:i/>
          <w:color w:val="0070C0"/>
          <w:sz w:val="24"/>
          <w:szCs w:val="24"/>
        </w:rPr>
        <w:t xml:space="preserve">. </w:t>
      </w:r>
    </w:p>
    <w:p w:rsidR="003B0697" w:rsidRPr="00BB6098" w:rsidRDefault="003B0697" w:rsidP="00B352F0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>A/c:</w:t>
      </w:r>
      <w:r w:rsidRPr="00EE4D38">
        <w:rPr>
          <w:rFonts w:cs="Arial"/>
          <w:color w:val="0070C0"/>
          <w:sz w:val="24"/>
          <w:szCs w:val="24"/>
        </w:rPr>
        <w:t xml:space="preserve"> </w:t>
      </w:r>
      <w:r w:rsidR="00EE4D38" w:rsidRPr="00BB6098">
        <w:rPr>
          <w:rFonts w:cs="Arial"/>
          <w:i/>
          <w:color w:val="0070C0"/>
          <w:sz w:val="24"/>
          <w:szCs w:val="24"/>
        </w:rPr>
        <w:t>(</w:t>
      </w:r>
      <w:r w:rsidRPr="00BB6098">
        <w:rPr>
          <w:rFonts w:cs="Arial"/>
          <w:i/>
          <w:color w:val="0070C0"/>
          <w:sz w:val="24"/>
          <w:szCs w:val="24"/>
        </w:rPr>
        <w:t>Identificar a pessoa responsável pelo recebimento de denúncias</w:t>
      </w:r>
      <w:r w:rsidR="00EE4D38" w:rsidRPr="00BB6098">
        <w:rPr>
          <w:rFonts w:cs="Arial"/>
          <w:i/>
          <w:color w:val="0070C0"/>
          <w:sz w:val="24"/>
          <w:szCs w:val="24"/>
        </w:rPr>
        <w:t>)</w:t>
      </w:r>
    </w:p>
    <w:p w:rsidR="001E7C6D" w:rsidRPr="00BB6098" w:rsidRDefault="00EE4D38" w:rsidP="00B352F0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 w:rsidRPr="00BB6098">
        <w:rPr>
          <w:rFonts w:cs="Arial"/>
          <w:i/>
          <w:color w:val="0070C0"/>
          <w:sz w:val="24"/>
          <w:szCs w:val="24"/>
        </w:rPr>
        <w:t>(</w:t>
      </w:r>
      <w:r w:rsidR="001E7C6D" w:rsidRPr="00BB6098">
        <w:rPr>
          <w:rFonts w:cs="Arial"/>
          <w:i/>
          <w:color w:val="0070C0"/>
          <w:sz w:val="24"/>
          <w:szCs w:val="24"/>
        </w:rPr>
        <w:t>Endereço</w:t>
      </w:r>
      <w:r w:rsidR="00A84337" w:rsidRPr="00BB6098">
        <w:rPr>
          <w:rFonts w:cs="Arial"/>
          <w:i/>
          <w:color w:val="0070C0"/>
          <w:sz w:val="24"/>
          <w:szCs w:val="24"/>
        </w:rPr>
        <w:t xml:space="preserve"> </w:t>
      </w:r>
      <w:r w:rsidR="001A4D5B" w:rsidRPr="00BB6098">
        <w:rPr>
          <w:rFonts w:cs="Arial"/>
          <w:i/>
          <w:color w:val="0070C0"/>
          <w:sz w:val="24"/>
          <w:szCs w:val="24"/>
        </w:rPr>
        <w:t xml:space="preserve">completo </w:t>
      </w:r>
      <w:r w:rsidR="00A84337" w:rsidRPr="00BB6098">
        <w:rPr>
          <w:rFonts w:cs="Arial"/>
          <w:i/>
          <w:color w:val="0070C0"/>
          <w:sz w:val="24"/>
          <w:szCs w:val="24"/>
        </w:rPr>
        <w:t>da unidade</w:t>
      </w:r>
      <w:r w:rsidRPr="00BB6098">
        <w:rPr>
          <w:rFonts w:cs="Arial"/>
          <w:i/>
          <w:color w:val="0070C0"/>
          <w:sz w:val="24"/>
          <w:szCs w:val="24"/>
        </w:rPr>
        <w:t>)</w:t>
      </w:r>
    </w:p>
    <w:p w:rsidR="003B0697" w:rsidRPr="00BB6098" w:rsidRDefault="00EE4D38" w:rsidP="00B352F0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 w:rsidRPr="00BB6098">
        <w:rPr>
          <w:rFonts w:cs="Arial"/>
          <w:i/>
          <w:color w:val="0070C0"/>
          <w:sz w:val="24"/>
          <w:szCs w:val="24"/>
        </w:rPr>
        <w:t>(E-mail</w:t>
      </w:r>
      <w:r w:rsidR="003B0697" w:rsidRPr="00BB6098">
        <w:rPr>
          <w:rFonts w:cs="Arial"/>
          <w:i/>
          <w:color w:val="0070C0"/>
          <w:sz w:val="24"/>
          <w:szCs w:val="24"/>
        </w:rPr>
        <w:t xml:space="preserve"> para o recebimento de denúncias, disponibilizado pela unidade</w:t>
      </w:r>
      <w:proofErr w:type="gramStart"/>
      <w:r w:rsidRPr="00BB6098">
        <w:rPr>
          <w:rFonts w:cs="Arial"/>
          <w:i/>
          <w:color w:val="0070C0"/>
          <w:sz w:val="24"/>
          <w:szCs w:val="24"/>
        </w:rPr>
        <w:t>)</w:t>
      </w:r>
      <w:proofErr w:type="gramEnd"/>
    </w:p>
    <w:p w:rsidR="00D539B0" w:rsidRPr="00EE4D38" w:rsidRDefault="00D539B0" w:rsidP="00B352F0">
      <w:pPr>
        <w:spacing w:line="360" w:lineRule="auto"/>
        <w:rPr>
          <w:rFonts w:cs="Arial"/>
          <w:sz w:val="24"/>
          <w:szCs w:val="24"/>
        </w:rPr>
      </w:pPr>
    </w:p>
    <w:p w:rsidR="00693344" w:rsidRDefault="00693344" w:rsidP="00B352F0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</w:p>
    <w:p w:rsidR="00F32929" w:rsidRPr="00EE4D38" w:rsidRDefault="00F32929" w:rsidP="00B352F0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 xml:space="preserve">Ref.: </w:t>
      </w:r>
      <w:r w:rsidR="001A4D5B" w:rsidRPr="00EE4D38">
        <w:rPr>
          <w:rFonts w:cs="Arial"/>
          <w:b/>
          <w:sz w:val="24"/>
          <w:szCs w:val="24"/>
          <w:u w:val="single"/>
        </w:rPr>
        <w:t>Denúncia de veiculação</w:t>
      </w:r>
      <w:r w:rsidRPr="00EE4D38">
        <w:rPr>
          <w:rFonts w:cs="Arial"/>
          <w:b/>
          <w:sz w:val="24"/>
          <w:szCs w:val="24"/>
          <w:u w:val="single"/>
        </w:rPr>
        <w:t xml:space="preserve"> de publicidade abusiva</w:t>
      </w:r>
      <w:r w:rsidR="001A4D5B" w:rsidRPr="00EE4D38">
        <w:rPr>
          <w:rFonts w:cs="Arial"/>
          <w:b/>
          <w:sz w:val="24"/>
          <w:szCs w:val="24"/>
          <w:u w:val="single"/>
        </w:rPr>
        <w:t xml:space="preserve"> dirigida à</w:t>
      </w:r>
      <w:r w:rsidR="00DE66A8" w:rsidRPr="00EE4D38">
        <w:rPr>
          <w:rFonts w:cs="Arial"/>
          <w:b/>
          <w:sz w:val="24"/>
          <w:szCs w:val="24"/>
          <w:u w:val="single"/>
        </w:rPr>
        <w:t xml:space="preserve"> criança</w:t>
      </w:r>
      <w:r w:rsidR="001A4D5B" w:rsidRPr="00EE4D38">
        <w:rPr>
          <w:rFonts w:cs="Arial"/>
          <w:b/>
          <w:sz w:val="24"/>
          <w:szCs w:val="24"/>
          <w:u w:val="single"/>
        </w:rPr>
        <w:t>.</w:t>
      </w:r>
    </w:p>
    <w:p w:rsidR="00F32929" w:rsidRPr="00EE4D38" w:rsidRDefault="00F32929" w:rsidP="00B352F0">
      <w:pPr>
        <w:spacing w:line="360" w:lineRule="auto"/>
        <w:rPr>
          <w:rFonts w:cs="Arial"/>
          <w:sz w:val="24"/>
          <w:szCs w:val="24"/>
        </w:rPr>
      </w:pPr>
    </w:p>
    <w:p w:rsidR="008912C6" w:rsidRPr="00EE4D38" w:rsidRDefault="008912C6" w:rsidP="00B352F0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BE3B8A" w:rsidP="002D53FA">
      <w:pPr>
        <w:spacing w:line="360" w:lineRule="auto"/>
        <w:ind w:firstLine="0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Ilustre </w:t>
      </w:r>
      <w:proofErr w:type="gramStart"/>
      <w:r w:rsidR="00A77627" w:rsidRPr="00EE4D38">
        <w:rPr>
          <w:rFonts w:cs="Arial"/>
          <w:sz w:val="24"/>
          <w:szCs w:val="24"/>
        </w:rPr>
        <w:t>Sr.</w:t>
      </w:r>
      <w:proofErr w:type="gramEnd"/>
      <w:r w:rsidR="00A77627" w:rsidRPr="00EE4D38">
        <w:rPr>
          <w:rFonts w:cs="Arial"/>
          <w:sz w:val="24"/>
          <w:szCs w:val="24"/>
        </w:rPr>
        <w:t>(a) Dr.(a) Promotor</w:t>
      </w:r>
      <w:r w:rsidRPr="00EE4D38">
        <w:rPr>
          <w:rFonts w:cs="Arial"/>
          <w:sz w:val="24"/>
          <w:szCs w:val="24"/>
        </w:rPr>
        <w:t>(a) de Justiça</w:t>
      </w:r>
      <w:r w:rsidR="002D53FA" w:rsidRPr="00EE4D38">
        <w:rPr>
          <w:rFonts w:cs="Arial"/>
          <w:sz w:val="24"/>
          <w:szCs w:val="24"/>
        </w:rPr>
        <w:t xml:space="preserve">, </w:t>
      </w:r>
    </w:p>
    <w:p w:rsidR="002D53FA" w:rsidRPr="00EE4D38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EE4D38" w:rsidRDefault="00693344" w:rsidP="00693344">
      <w:pPr>
        <w:spacing w:line="360" w:lineRule="auto"/>
        <w:ind w:firstLine="426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Vimos</w:t>
      </w:r>
      <w:r w:rsidR="002D53FA" w:rsidRPr="00EE4D38">
        <w:rPr>
          <w:rFonts w:cs="Arial"/>
          <w:sz w:val="24"/>
          <w:szCs w:val="24"/>
        </w:rPr>
        <w:t xml:space="preserve">, por meio desta, apresentar pedido de adoção das providências legais cabíveis em razão da veiculação de estratégias de comunicação </w:t>
      </w:r>
      <w:proofErr w:type="gramStart"/>
      <w:r w:rsidR="002D53FA" w:rsidRPr="00EE4D38">
        <w:rPr>
          <w:rFonts w:cs="Arial"/>
          <w:sz w:val="24"/>
          <w:szCs w:val="24"/>
        </w:rPr>
        <w:t>mercadológica abusivas dirigida</w:t>
      </w:r>
      <w:proofErr w:type="gramEnd"/>
      <w:r w:rsidR="002D53FA" w:rsidRPr="00EE4D38">
        <w:rPr>
          <w:rFonts w:cs="Arial"/>
          <w:sz w:val="24"/>
          <w:szCs w:val="24"/>
        </w:rPr>
        <w:t xml:space="preserve"> à criança para promoção de </w:t>
      </w:r>
      <w:r w:rsidR="002D53FA" w:rsidRPr="00EE4D38">
        <w:rPr>
          <w:rFonts w:cs="Arial"/>
          <w:i/>
          <w:color w:val="0070C0"/>
          <w:sz w:val="24"/>
          <w:szCs w:val="24"/>
        </w:rPr>
        <w:t>(nome do produto/serviço anunciado)</w:t>
      </w:r>
      <w:r w:rsidR="002D53FA" w:rsidRPr="00EE4D38">
        <w:rPr>
          <w:rFonts w:cs="Arial"/>
          <w:sz w:val="24"/>
          <w:szCs w:val="24"/>
        </w:rPr>
        <w:t xml:space="preserve"> pela empresa </w:t>
      </w:r>
      <w:r w:rsidR="002D53FA" w:rsidRPr="00EE4D38">
        <w:rPr>
          <w:rFonts w:cs="Arial"/>
          <w:i/>
          <w:color w:val="0070C0"/>
          <w:sz w:val="24"/>
          <w:szCs w:val="24"/>
        </w:rPr>
        <w:t>(nome da empresa responsável pelo produto/serviço)</w:t>
      </w:r>
      <w:r w:rsidR="002D53FA" w:rsidRPr="00EE4D38">
        <w:rPr>
          <w:rFonts w:cs="Arial"/>
          <w:sz w:val="24"/>
          <w:szCs w:val="24"/>
        </w:rPr>
        <w:t xml:space="preserve"> conforme se verifica no anexo </w:t>
      </w:r>
      <w:r w:rsidR="002D53FA" w:rsidRPr="00EE4D38">
        <w:rPr>
          <w:rFonts w:cs="Arial"/>
          <w:i/>
          <w:color w:val="0070C0"/>
          <w:sz w:val="24"/>
          <w:szCs w:val="24"/>
        </w:rPr>
        <w:t>(anexar comprovantes da veiculação da mensagem publicitária denunciada por meio de fotos, recortes ou cópias de jornais, revistas, folhetos, gravações, capturas de tela do computador (“</w:t>
      </w:r>
      <w:proofErr w:type="spellStart"/>
      <w:r w:rsidR="002D53FA" w:rsidRPr="00EE4D38">
        <w:rPr>
          <w:rFonts w:cs="Arial"/>
          <w:i/>
          <w:color w:val="0070C0"/>
          <w:sz w:val="24"/>
          <w:szCs w:val="24"/>
        </w:rPr>
        <w:t>print</w:t>
      </w:r>
      <w:proofErr w:type="spellEnd"/>
      <w:r w:rsidR="002D53FA" w:rsidRPr="00EE4D38">
        <w:rPr>
          <w:rFonts w:cs="Arial"/>
          <w:i/>
          <w:color w:val="0070C0"/>
          <w:sz w:val="24"/>
          <w:szCs w:val="24"/>
        </w:rPr>
        <w:t xml:space="preserve"> screen”), links para acesso a conteúdo na internet, </w:t>
      </w:r>
      <w:proofErr w:type="spellStart"/>
      <w:r w:rsidR="002D53FA" w:rsidRPr="00EE4D38">
        <w:rPr>
          <w:rFonts w:cs="Arial"/>
          <w:i/>
          <w:color w:val="0070C0"/>
          <w:sz w:val="24"/>
          <w:szCs w:val="24"/>
        </w:rPr>
        <w:t>etc</w:t>
      </w:r>
      <w:proofErr w:type="spellEnd"/>
      <w:r w:rsidR="002D53FA" w:rsidRPr="00EE4D38">
        <w:rPr>
          <w:rFonts w:cs="Arial"/>
          <w:i/>
          <w:color w:val="0070C0"/>
          <w:sz w:val="24"/>
          <w:szCs w:val="24"/>
        </w:rPr>
        <w:t xml:space="preserve">) </w:t>
      </w:r>
      <w:r w:rsidR="002D53FA" w:rsidRPr="00EE4D38">
        <w:rPr>
          <w:rFonts w:cs="Arial"/>
          <w:sz w:val="24"/>
          <w:szCs w:val="24"/>
        </w:rPr>
        <w:t>e adiante apresentado.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B352F0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lastRenderedPageBreak/>
        <w:t>Descrição da estratégia de comunicação mercadológic</w:t>
      </w:r>
      <w:r w:rsidRPr="00693344">
        <w:rPr>
          <w:rFonts w:cs="Arial"/>
          <w:b/>
          <w:sz w:val="24"/>
          <w:szCs w:val="24"/>
        </w:rPr>
        <w:t>a</w:t>
      </w:r>
      <w:r w:rsidRPr="00693344">
        <w:rPr>
          <w:rStyle w:val="Refdenotaderodap"/>
          <w:rFonts w:cs="Arial"/>
          <w:i/>
          <w:sz w:val="24"/>
          <w:szCs w:val="24"/>
        </w:rPr>
        <w:footnoteReference w:id="1"/>
      </w:r>
      <w:r w:rsidRPr="00EE4D38">
        <w:rPr>
          <w:rFonts w:cs="Arial"/>
          <w:i/>
          <w:color w:val="0070C0"/>
          <w:sz w:val="24"/>
          <w:szCs w:val="24"/>
        </w:rPr>
        <w:t xml:space="preserve"> </w:t>
      </w:r>
      <w:r w:rsidRPr="00EE4D38">
        <w:rPr>
          <w:rFonts w:cs="Arial"/>
          <w:b/>
          <w:sz w:val="24"/>
          <w:szCs w:val="24"/>
        </w:rPr>
        <w:t xml:space="preserve">direcionada diretamente às crianças pela empresa denunciada. </w:t>
      </w:r>
    </w:p>
    <w:p w:rsidR="002D53FA" w:rsidRPr="00EE4D38" w:rsidRDefault="002D53FA" w:rsidP="002D53FA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</w:p>
    <w:p w:rsidR="002D53FA" w:rsidRPr="00EE4D38" w:rsidRDefault="002D53FA" w:rsidP="00693344">
      <w:pPr>
        <w:spacing w:line="360" w:lineRule="auto"/>
        <w:ind w:firstLine="708"/>
        <w:rPr>
          <w:rFonts w:cs="Arial"/>
          <w:i/>
          <w:color w:val="0070C0"/>
          <w:sz w:val="24"/>
          <w:szCs w:val="24"/>
        </w:rPr>
      </w:pPr>
      <w:r w:rsidRPr="00EE4D38">
        <w:rPr>
          <w:rFonts w:cs="Arial"/>
          <w:sz w:val="24"/>
          <w:szCs w:val="24"/>
          <w:u w:val="single"/>
        </w:rPr>
        <w:t>Sugestão:</w:t>
      </w:r>
      <w:r w:rsidRPr="00EE4D38">
        <w:rPr>
          <w:rFonts w:cs="Arial"/>
          <w:sz w:val="24"/>
          <w:szCs w:val="24"/>
        </w:rPr>
        <w:t xml:space="preserve"> Foi observada a veiculação da publicidade do </w:t>
      </w:r>
      <w:r w:rsidRPr="00EE4D38">
        <w:rPr>
          <w:rFonts w:cs="Arial"/>
          <w:i/>
          <w:color w:val="0070C0"/>
          <w:sz w:val="24"/>
          <w:szCs w:val="24"/>
        </w:rPr>
        <w:t>(produto/serviço),</w:t>
      </w:r>
      <w:r w:rsidRPr="00EE4D38">
        <w:rPr>
          <w:rFonts w:cs="Arial"/>
          <w:sz w:val="24"/>
          <w:szCs w:val="24"/>
        </w:rPr>
        <w:t xml:space="preserve"> da </w:t>
      </w:r>
      <w:r w:rsidRPr="00EE4D38">
        <w:rPr>
          <w:rFonts w:cs="Arial"/>
          <w:i/>
          <w:color w:val="0070C0"/>
          <w:sz w:val="24"/>
          <w:szCs w:val="24"/>
        </w:rPr>
        <w:t>(empresa),</w:t>
      </w:r>
      <w:r w:rsidRPr="00EE4D38">
        <w:rPr>
          <w:rFonts w:cs="Arial"/>
          <w:sz w:val="24"/>
          <w:szCs w:val="24"/>
        </w:rPr>
        <w:t xml:space="preserve"> em </w:t>
      </w:r>
      <w:r w:rsidRPr="00EE4D38">
        <w:rPr>
          <w:rFonts w:cs="Arial"/>
          <w:i/>
          <w:color w:val="0070C0"/>
          <w:sz w:val="24"/>
          <w:szCs w:val="24"/>
        </w:rPr>
        <w:t>(nome do canal de televisão, emissora de rádio, Shopping Center, espaço público, página de internet, escola, loja, local, etc. em que o anúncio foi exibido)</w:t>
      </w:r>
      <w:r w:rsidRPr="00EE4D38">
        <w:rPr>
          <w:rFonts w:cs="Arial"/>
          <w:i/>
          <w:sz w:val="24"/>
          <w:szCs w:val="24"/>
        </w:rPr>
        <w:t xml:space="preserve">, </w:t>
      </w:r>
      <w:r w:rsidRPr="00EE4D38">
        <w:rPr>
          <w:rFonts w:cs="Arial"/>
          <w:sz w:val="24"/>
          <w:szCs w:val="24"/>
        </w:rPr>
        <w:t xml:space="preserve">na </w:t>
      </w:r>
      <w:r w:rsidRPr="00EE4D38">
        <w:rPr>
          <w:rFonts w:cs="Arial"/>
          <w:i/>
          <w:color w:val="0070C0"/>
          <w:sz w:val="24"/>
          <w:szCs w:val="24"/>
        </w:rPr>
        <w:t>(cidade/estado)</w:t>
      </w:r>
      <w:r w:rsidRPr="00EE4D38">
        <w:rPr>
          <w:rFonts w:cs="Arial"/>
          <w:color w:val="0070C0"/>
          <w:sz w:val="24"/>
          <w:szCs w:val="24"/>
        </w:rPr>
        <w:t xml:space="preserve">, </w:t>
      </w:r>
      <w:r w:rsidRPr="00EE4D38">
        <w:rPr>
          <w:rFonts w:cs="Arial"/>
          <w:sz w:val="24"/>
          <w:szCs w:val="24"/>
        </w:rPr>
        <w:t xml:space="preserve">na </w:t>
      </w:r>
      <w:r w:rsidRPr="00EE4D38">
        <w:rPr>
          <w:rFonts w:cs="Arial"/>
          <w:i/>
          <w:color w:val="0070C0"/>
          <w:sz w:val="24"/>
          <w:szCs w:val="24"/>
        </w:rPr>
        <w:t xml:space="preserve">(data) </w:t>
      </w:r>
      <w:r w:rsidRPr="00EE4D38">
        <w:rPr>
          <w:rFonts w:cs="Arial"/>
          <w:sz w:val="24"/>
          <w:szCs w:val="24"/>
        </w:rPr>
        <w:t xml:space="preserve">e aproximadamente no </w:t>
      </w:r>
      <w:r w:rsidRPr="00EE4D38">
        <w:rPr>
          <w:rFonts w:cs="Arial"/>
          <w:i/>
          <w:color w:val="0070C0"/>
          <w:sz w:val="24"/>
          <w:szCs w:val="24"/>
        </w:rPr>
        <w:t>(horário).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O anúncio consistia em </w:t>
      </w:r>
      <w:r w:rsidRPr="00EE4D38">
        <w:rPr>
          <w:rFonts w:cs="Arial"/>
          <w:i/>
          <w:color w:val="0070C0"/>
          <w:sz w:val="24"/>
          <w:szCs w:val="24"/>
        </w:rPr>
        <w:t>(comercial de televisão, vinheta de rádio, cartaz, estande em shopping, apresentação em escola, oferta de produtos, brindes, etc.)</w:t>
      </w:r>
      <w:r w:rsidRPr="00EE4D38">
        <w:rPr>
          <w:rFonts w:cs="Arial"/>
          <w:i/>
          <w:color w:val="548DD4" w:themeColor="text2" w:themeTint="99"/>
          <w:sz w:val="24"/>
          <w:szCs w:val="24"/>
        </w:rPr>
        <w:t xml:space="preserve">, </w:t>
      </w:r>
      <w:r w:rsidRPr="00EE4D38">
        <w:rPr>
          <w:rFonts w:cs="Arial"/>
          <w:sz w:val="24"/>
          <w:szCs w:val="24"/>
        </w:rPr>
        <w:t xml:space="preserve">cujo conteúdo </w:t>
      </w:r>
      <w:r w:rsidRPr="00EE4D38">
        <w:rPr>
          <w:rFonts w:cs="Arial"/>
          <w:i/>
          <w:color w:val="0070C0"/>
          <w:sz w:val="24"/>
          <w:szCs w:val="24"/>
        </w:rPr>
        <w:t>(transcrever fala do narrador, letra da música, mensagem do cartaz, descrever objetos, personagens, cenário, cenas, etc.)</w:t>
      </w:r>
      <w:r w:rsidRPr="00EE4D38">
        <w:rPr>
          <w:rFonts w:cs="Arial"/>
          <w:sz w:val="24"/>
          <w:szCs w:val="24"/>
        </w:rPr>
        <w:t xml:space="preserve">. </w:t>
      </w:r>
    </w:p>
    <w:p w:rsidR="002D53FA" w:rsidRPr="00EE4D38" w:rsidRDefault="002D53FA" w:rsidP="002D53FA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2D53FA" w:rsidRPr="00EE4D38" w:rsidRDefault="002D53FA" w:rsidP="002D53FA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>Fundamentação da ilegalidade da estratégia publicitária dirigida à criança pela empresa denunciada.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983995" w:rsidRPr="00A1526D" w:rsidRDefault="00983995" w:rsidP="00983995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No Brasil publicidade dirigida ao público infantil é ilegal. Pela interpretação sistemática da Constituição Federal, do Estatuto da Criança e do Adolescente (Lei nº 8.069/1990), da Convenção das Nações Unidas sobre as Crianças (Decreto </w:t>
      </w:r>
      <w:proofErr w:type="gramStart"/>
      <w:r w:rsidRPr="00A1526D">
        <w:rPr>
          <w:rFonts w:cs="Arial"/>
          <w:sz w:val="24"/>
          <w:szCs w:val="24"/>
        </w:rPr>
        <w:t>n</w:t>
      </w:r>
      <w:r w:rsidRPr="00A1526D">
        <w:rPr>
          <w:rFonts w:cs="Arial"/>
          <w:sz w:val="24"/>
          <w:szCs w:val="24"/>
          <w:vertAlign w:val="superscript"/>
        </w:rPr>
        <w:t xml:space="preserve">o </w:t>
      </w:r>
      <w:r>
        <w:rPr>
          <w:rFonts w:cs="Arial"/>
          <w:sz w:val="24"/>
          <w:szCs w:val="24"/>
        </w:rPr>
        <w:t>99.710</w:t>
      </w:r>
      <w:proofErr w:type="gramEnd"/>
      <w:r>
        <w:rPr>
          <w:rFonts w:cs="Arial"/>
          <w:sz w:val="24"/>
          <w:szCs w:val="24"/>
        </w:rPr>
        <w:t xml:space="preserve">/ 1990), </w:t>
      </w:r>
      <w:r w:rsidRPr="00A1526D">
        <w:rPr>
          <w:rFonts w:cs="Arial"/>
          <w:sz w:val="24"/>
          <w:szCs w:val="24"/>
        </w:rPr>
        <w:t>do Código de Defesa do Consumidor (Lei nº 8.</w:t>
      </w:r>
      <w:r w:rsidRPr="00983995">
        <w:rPr>
          <w:rFonts w:cs="Arial"/>
          <w:sz w:val="24"/>
          <w:szCs w:val="24"/>
        </w:rPr>
        <w:t xml:space="preserve">078/1990) </w:t>
      </w:r>
      <w:r w:rsidRPr="00983995">
        <w:rPr>
          <w:rFonts w:cs="Arial"/>
          <w:sz w:val="22"/>
          <w:szCs w:val="24"/>
        </w:rPr>
        <w:t xml:space="preserve">e da </w:t>
      </w:r>
      <w:r w:rsidRPr="00983995">
        <w:rPr>
          <w:rFonts w:cs="Arial"/>
          <w:sz w:val="24"/>
        </w:rPr>
        <w:t xml:space="preserve">Resolução nº 163 de 13 de março de 2014, publicada no Diário Oficial da União em 4 de abril de 2014, do Conselho Nacional dos Direitos da Criança e do Adolescente - </w:t>
      </w:r>
      <w:proofErr w:type="spellStart"/>
      <w:r w:rsidRPr="00983995">
        <w:rPr>
          <w:rFonts w:cs="Arial"/>
          <w:sz w:val="24"/>
        </w:rPr>
        <w:t>Conanda</w:t>
      </w:r>
      <w:proofErr w:type="spellEnd"/>
      <w:r w:rsidRPr="00983995">
        <w:rPr>
          <w:rStyle w:val="Refdenotaderodap"/>
          <w:rFonts w:cs="Arial"/>
          <w:sz w:val="24"/>
        </w:rPr>
        <w:footnoteReference w:id="2"/>
      </w:r>
      <w:r w:rsidRPr="00983995">
        <w:rPr>
          <w:rStyle w:val="Refdenotaderodap"/>
          <w:rFonts w:cs="Arial"/>
          <w:sz w:val="24"/>
        </w:rPr>
        <w:footnoteReference w:id="3"/>
      </w:r>
      <w:r w:rsidRPr="00983995">
        <w:rPr>
          <w:rFonts w:cs="Arial"/>
          <w:sz w:val="24"/>
          <w:szCs w:val="24"/>
        </w:rPr>
        <w:t>, pode-se dizer</w:t>
      </w:r>
      <w:r w:rsidRPr="00A1526D">
        <w:rPr>
          <w:rFonts w:cs="Arial"/>
          <w:sz w:val="24"/>
          <w:szCs w:val="24"/>
        </w:rPr>
        <w:t xml:space="preserve"> </w:t>
      </w:r>
      <w:r w:rsidRPr="00A1526D">
        <w:rPr>
          <w:rFonts w:cs="Arial"/>
          <w:sz w:val="24"/>
          <w:szCs w:val="24"/>
        </w:rPr>
        <w:lastRenderedPageBreak/>
        <w:t xml:space="preserve">que a publicidade dirigida ao público infantil é proibida, mesmo que na prática ainda sejam encontrados diversos anúncios voltados para esse público.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Neste sentido, entende VIDAL SERRANO JR.</w:t>
      </w:r>
      <w:r w:rsidRPr="00EE4D38">
        <w:rPr>
          <w:rFonts w:cs="Arial"/>
          <w:sz w:val="24"/>
          <w:szCs w:val="24"/>
          <w:vertAlign w:val="superscript"/>
        </w:rPr>
        <w:footnoteReference w:id="4"/>
      </w:r>
      <w:r w:rsidRPr="00EE4D38">
        <w:rPr>
          <w:rFonts w:cs="Arial"/>
          <w:sz w:val="24"/>
          <w:szCs w:val="24"/>
        </w:rPr>
        <w:t>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EE4D38">
        <w:rPr>
          <w:rFonts w:cs="Arial"/>
          <w:sz w:val="22"/>
          <w:szCs w:val="22"/>
        </w:rPr>
        <w:t>“Assim, toda e qualquer publicidade dirigida ao público infantil parece inelutavelmente maculada de ilegalidade, quando menos por violação de tal ditame legal.</w:t>
      </w:r>
      <w:proofErr w:type="gramEnd"/>
      <w:r w:rsidRPr="00EE4D38">
        <w:rPr>
          <w:rFonts w:cs="Arial"/>
          <w:sz w:val="22"/>
          <w:szCs w:val="22"/>
        </w:rPr>
        <w:t xml:space="preserve"> </w:t>
      </w: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(...)</w:t>
      </w: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Posto o caráter persuasivo da publicidade, a depender do estágio de desenvolvimento da criança, a impossibilidade de captar eventuais conteúdos informativos, quer nos parecer que a publicidade comercial dirigida ao público infantil esteja, ainda uma vez, fadada ao juízo de ilegalidade. </w:t>
      </w: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Com efeito, se não pode captar eventual conteúdo informativo e não </w:t>
      </w:r>
      <w:proofErr w:type="gramStart"/>
      <w:r w:rsidRPr="00EE4D38">
        <w:rPr>
          <w:rFonts w:cs="Arial"/>
          <w:sz w:val="22"/>
          <w:szCs w:val="22"/>
        </w:rPr>
        <w:t>tem defesas</w:t>
      </w:r>
      <w:proofErr w:type="gramEnd"/>
      <w:r w:rsidRPr="00EE4D38">
        <w:rPr>
          <w:rFonts w:cs="Arial"/>
          <w:sz w:val="22"/>
          <w:szCs w:val="22"/>
        </w:rPr>
        <w:t xml:space="preserve"> emocionais suficientemente formadas para perceber os influxos de conteúdos persuasivos, praticamente em todas as situações, a publicidade comercial dirigida a crianças estará a se configurar como abusiva e, portanto, ilegal.”</w:t>
      </w:r>
    </w:p>
    <w:p w:rsidR="002D53FA" w:rsidRPr="00EE4D38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EE4D38" w:rsidRDefault="002D53FA" w:rsidP="002D53FA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>Princípios norteadores dos Direitos das Crianças: prioridade absoluta, proteção integral e melhor interesse da criança.</w:t>
      </w:r>
    </w:p>
    <w:p w:rsidR="002D53FA" w:rsidRPr="00EE4D38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Inicialmente, para compreender a razão de considerar abusiva a publicidade dirigida ao público infantil, é preciso ter em mente que o ordenamento jurídico brasileiro busca proporcionar à criança um desenvolvimento saudável e feliz, livre de violências e opressões, em garantia dos princípios da prioridade absoluta, proteção integral e da primazia do melhor interesse da criança, conforme preconizam o texto constitucional, o Estatuto da Criança e do Adolescente (ECA) e a Convenção das Nações Unidas sobre os Direitos da Criança. </w:t>
      </w:r>
    </w:p>
    <w:p w:rsidR="002D53FA" w:rsidRPr="00EE4D38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O artigo 227, da Constituição Federal, estabelece o dever da família, da sociedade e do Estado de assegurar </w:t>
      </w:r>
      <w:r w:rsidRPr="00EE4D38">
        <w:rPr>
          <w:rFonts w:cs="Arial"/>
          <w:b/>
          <w:iCs/>
          <w:sz w:val="24"/>
          <w:szCs w:val="24"/>
        </w:rPr>
        <w:t>com absoluta prioridade</w:t>
      </w:r>
      <w:r w:rsidRPr="00EE4D38">
        <w:rPr>
          <w:rFonts w:cs="Arial"/>
          <w:sz w:val="24"/>
          <w:szCs w:val="24"/>
        </w:rPr>
        <w:t xml:space="preserve"> à criança os direitos à </w:t>
      </w:r>
      <w:r w:rsidRPr="00EE4D38">
        <w:rPr>
          <w:rFonts w:cs="Arial"/>
          <w:sz w:val="24"/>
          <w:szCs w:val="24"/>
        </w:rPr>
        <w:lastRenderedPageBreak/>
        <w:t xml:space="preserve">vida, à saúde, à alimentação, à educação, ao lazer, à profissionalização, à cultura, à dignidade, ao respeito, à liberdade e à convivência familiar e comunitária. Também determina que todas as crianças </w:t>
      </w:r>
      <w:proofErr w:type="gramStart"/>
      <w:r w:rsidRPr="00EE4D38">
        <w:rPr>
          <w:rFonts w:cs="Arial"/>
          <w:sz w:val="24"/>
          <w:szCs w:val="24"/>
        </w:rPr>
        <w:t>devem</w:t>
      </w:r>
      <w:proofErr w:type="gramEnd"/>
      <w:r w:rsidRPr="00EE4D38">
        <w:rPr>
          <w:rFonts w:cs="Arial"/>
          <w:sz w:val="24"/>
          <w:szCs w:val="24"/>
        </w:rPr>
        <w:t xml:space="preserve"> ser protegidas de qualquer forma de negligência, discriminação, exploração, violência, crueldade e opressão.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Dessa forma, as crianças, por se encontrarem em peculiar processo de desenvolvimento, são titulares de uma proteção especial, denominada no ordenamento jurídico brasileiro como </w:t>
      </w:r>
      <w:r w:rsidRPr="00EE4D38">
        <w:rPr>
          <w:rFonts w:cs="Arial"/>
          <w:b/>
          <w:sz w:val="24"/>
          <w:szCs w:val="24"/>
        </w:rPr>
        <w:t>proteção integral.</w:t>
      </w:r>
      <w:r w:rsidRPr="00EE4D38">
        <w:rPr>
          <w:rFonts w:cs="Arial"/>
          <w:sz w:val="24"/>
          <w:szCs w:val="24"/>
        </w:rPr>
        <w:t xml:space="preserve">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Segundo a advogada e professora de Direito de Família e de Direito da Criança e do Adolescente da PUC/RJ e UERJ, TÂNIA DA SILVA PEREIRA</w:t>
      </w:r>
      <w:r w:rsidRPr="00EE4D38">
        <w:rPr>
          <w:rFonts w:cs="Arial"/>
          <w:sz w:val="24"/>
          <w:szCs w:val="24"/>
          <w:vertAlign w:val="superscript"/>
        </w:rPr>
        <w:footnoteReference w:id="5"/>
      </w:r>
      <w:r w:rsidRPr="00EE4D38">
        <w:rPr>
          <w:rFonts w:cs="Arial"/>
          <w:sz w:val="24"/>
          <w:szCs w:val="24"/>
        </w:rPr>
        <w:t>:</w:t>
      </w:r>
    </w:p>
    <w:p w:rsidR="002D53FA" w:rsidRPr="00EE4D38" w:rsidRDefault="002D53FA" w:rsidP="002D53FA">
      <w:pPr>
        <w:spacing w:line="360" w:lineRule="auto"/>
        <w:rPr>
          <w:rFonts w:cs="Arial"/>
          <w:sz w:val="22"/>
          <w:szCs w:val="22"/>
        </w:rPr>
      </w:pP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EE4D38">
        <w:rPr>
          <w:rFonts w:cs="Arial"/>
          <w:sz w:val="22"/>
          <w:szCs w:val="22"/>
        </w:rPr>
        <w:t>“Como ‘pessoas em condição peculiar de desenvolvimento’, segundo Antônio Carlos Gomes da Costa, ‘elas desfrutam de todos os direitos dos adultos e que sejam aplicáveis à sua idade e ainda têm direitos especiais decorrentes do fato de:</w:t>
      </w: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End"/>
      <w:r w:rsidRPr="00EE4D38">
        <w:rPr>
          <w:rFonts w:cs="Arial"/>
          <w:sz w:val="22"/>
          <w:szCs w:val="22"/>
        </w:rPr>
        <w:t>- Não terem acesso ao conhecimento pleno de seus direitos;</w:t>
      </w: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- Não terem atingido condições de defender seus direitos frente às omissões e transgressões capazes de violá-los;</w:t>
      </w: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- Não contam com meios próprios para arcar com a satisfação de suas necessidades básicas;</w:t>
      </w: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 - </w:t>
      </w:r>
      <w:proofErr w:type="gramStart"/>
      <w:r w:rsidRPr="00EE4D38">
        <w:rPr>
          <w:rFonts w:cs="Arial"/>
          <w:sz w:val="22"/>
          <w:szCs w:val="22"/>
        </w:rPr>
        <w:t>Não podem responder pelo cumprimento das leis e deveres e obrigações inerentes à cidadania da mesma forma que o adulto, por se tratar de seres em pleno desenvolvimento físico, cognitivo, emocional e sociocultural.”</w:t>
      </w:r>
      <w:proofErr w:type="gramEnd"/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Além disso, segundo interpretações as mais autorizadas de juristas especialistas em infância, as ações que atingem as crianças - praticadas por particulares ou pelo poder público - devem ser levadas a cabo tendo-se em vista a garantia do </w:t>
      </w:r>
      <w:r w:rsidRPr="00EE4D38">
        <w:rPr>
          <w:rFonts w:cs="Arial"/>
          <w:b/>
          <w:sz w:val="24"/>
          <w:szCs w:val="24"/>
        </w:rPr>
        <w:t>melhor interesse da criança</w:t>
      </w:r>
      <w:r w:rsidRPr="00EE4D38">
        <w:rPr>
          <w:rFonts w:cs="Arial"/>
          <w:sz w:val="24"/>
          <w:szCs w:val="24"/>
        </w:rPr>
        <w:t>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Como bem nos aponta TÂNIA DA SILVA PEREIRA acerca da proteção do melhor interesse da criança:</w:t>
      </w:r>
    </w:p>
    <w:p w:rsidR="002D53FA" w:rsidRPr="00EE4D38" w:rsidRDefault="002D53FA" w:rsidP="002D53FA">
      <w:pPr>
        <w:spacing w:line="360" w:lineRule="auto"/>
        <w:rPr>
          <w:rFonts w:cs="Arial"/>
          <w:sz w:val="22"/>
          <w:szCs w:val="22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lastRenderedPageBreak/>
        <w:t xml:space="preserve">“O Brasil incorporou, em caráter definitivo, o princípio do ‘melhor interesse da criança’ em seu sistema jurídico e, sobretudo, tem representado um norteador importante para a modificação das legislações internas no que concerne à proteção </w:t>
      </w:r>
      <w:r w:rsidR="00693344">
        <w:rPr>
          <w:rFonts w:cs="Arial"/>
          <w:sz w:val="22"/>
          <w:szCs w:val="22"/>
        </w:rPr>
        <w:t>da infância em nosso continente.</w:t>
      </w:r>
      <w:r w:rsidRPr="00EE4D38">
        <w:rPr>
          <w:rFonts w:cs="Arial"/>
          <w:sz w:val="22"/>
          <w:szCs w:val="22"/>
        </w:rPr>
        <w:t>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693344" w:rsidRPr="00EE4D38">
        <w:rPr>
          <w:rFonts w:cs="Arial"/>
          <w:sz w:val="22"/>
          <w:szCs w:val="22"/>
          <w:vertAlign w:val="superscript"/>
        </w:rPr>
        <w:footnoteReference w:id="6"/>
      </w:r>
      <w:proofErr w:type="gramEnd"/>
      <w:r w:rsidRPr="00EE4D38">
        <w:rPr>
          <w:rFonts w:cs="Arial"/>
          <w:sz w:val="22"/>
          <w:szCs w:val="22"/>
        </w:rPr>
        <w:t xml:space="preserve">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De acordo com este princípio de atendimento ao melhor interesse da criança, deve-se levar em conta, no momento da aplicação da lei; da criação de políticas públicas para a infância e de desenvolvimento de ações do poder público e privado, o atendimento a todos os seus direitos fundamentais, o que inclui uma infância livre de pressões e imperativos comerciais.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No mesmo sentido, </w:t>
      </w:r>
      <w:proofErr w:type="gramStart"/>
      <w:r w:rsidRPr="00EE4D38">
        <w:rPr>
          <w:rFonts w:cs="Arial"/>
          <w:sz w:val="24"/>
          <w:szCs w:val="24"/>
        </w:rPr>
        <w:t>o ECA</w:t>
      </w:r>
      <w:proofErr w:type="gramEnd"/>
      <w:r w:rsidRPr="00EE4D38">
        <w:rPr>
          <w:rFonts w:cs="Arial"/>
          <w:sz w:val="24"/>
          <w:szCs w:val="24"/>
        </w:rPr>
        <w:t xml:space="preserve"> estabelece os direitos dessas pessoas em desenvolvimento e o respeito à sua integridade inclusive com relação aos seus valores, nos artigos 4º, 5º, 6º, 7º, 17, 18, 53, dentre outros.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A Convenção das Nações Unidas sobre os Direitos das Crianças</w:t>
      </w:r>
      <w:r w:rsidRPr="00EE4D38">
        <w:rPr>
          <w:rFonts w:cs="Arial"/>
          <w:sz w:val="24"/>
          <w:szCs w:val="24"/>
          <w:vertAlign w:val="superscript"/>
        </w:rPr>
        <w:footnoteReference w:id="7"/>
      </w:r>
      <w:r w:rsidRPr="00EE4D38">
        <w:rPr>
          <w:rFonts w:cs="Arial"/>
          <w:sz w:val="24"/>
          <w:szCs w:val="24"/>
        </w:rPr>
        <w:t xml:space="preserve">, por sua vez, é o documento de direitos </w:t>
      </w:r>
      <w:proofErr w:type="gramStart"/>
      <w:r w:rsidRPr="00EE4D38">
        <w:rPr>
          <w:rFonts w:cs="Arial"/>
          <w:sz w:val="24"/>
          <w:szCs w:val="24"/>
        </w:rPr>
        <w:t>humanos mais bem aceito no mundo, tendo sido aprovada</w:t>
      </w:r>
      <w:proofErr w:type="gramEnd"/>
      <w:r w:rsidRPr="00EE4D38">
        <w:rPr>
          <w:rFonts w:cs="Arial"/>
          <w:sz w:val="24"/>
          <w:szCs w:val="24"/>
        </w:rPr>
        <w:t xml:space="preserve"> por unanimidade na Assembleia da Organização das Nações Unidas de 20 de novembro de 1989 e ratificada por quase todos os países do planeta (só não a ratificaram os Estados Unidos da América e a Somália). Em razão disso, suas disposições assumem papel de consenso internacional acerca dos direitos e garantias destinados às crianças.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Este documento foi internalizado no Brasil por meio do Decreto n</w:t>
      </w:r>
      <w:r w:rsidRPr="00EE4D38">
        <w:rPr>
          <w:rFonts w:cs="Arial"/>
          <w:sz w:val="24"/>
          <w:szCs w:val="24"/>
          <w:vertAlign w:val="superscript"/>
        </w:rPr>
        <w:t xml:space="preserve">o </w:t>
      </w:r>
      <w:r w:rsidRPr="00EE4D38">
        <w:rPr>
          <w:rFonts w:cs="Arial"/>
          <w:sz w:val="24"/>
          <w:szCs w:val="24"/>
        </w:rPr>
        <w:t>99.710, de 21 de novembro de 1990 e, portanto, integra o ordenamento jurídico brasileiro, tendo as suas disposições ao menos hierarquia de lei ordinária. Esta convenção também determina que o tratamento jurídico dispensado a crianças seja balizado pelos parâmetros de direitos humanos e norteadores da proteção integral. Segundo TÂNIA DA SILVA PEREIRA: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EE4D38">
        <w:rPr>
          <w:rFonts w:cs="Arial"/>
          <w:sz w:val="22"/>
          <w:szCs w:val="22"/>
        </w:rPr>
        <w:t>“A Convenção consagra a</w:t>
      </w:r>
      <w:proofErr w:type="gramEnd"/>
      <w:r w:rsidRPr="00EE4D38">
        <w:rPr>
          <w:rFonts w:cs="Arial"/>
          <w:sz w:val="22"/>
          <w:szCs w:val="22"/>
        </w:rPr>
        <w:t xml:space="preserve"> ‘Doutrina Jurídica da Proteção Integral’, ou seja, que os direitos inerentes a todas as crianças e adolescentes possuem características específicas devido à peculiar condição de pessoas em vias de desenvolvimento em que se encontram, e que as políticas básicas voltadas para a juventude devem agir de forma integrada entre a família, a sociedade e o Estado.</w:t>
      </w: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Recomenda que a infância </w:t>
      </w:r>
      <w:proofErr w:type="gramStart"/>
      <w:r w:rsidRPr="00EE4D38">
        <w:rPr>
          <w:rFonts w:cs="Arial"/>
          <w:sz w:val="22"/>
          <w:szCs w:val="22"/>
        </w:rPr>
        <w:t>deverá</w:t>
      </w:r>
      <w:proofErr w:type="gramEnd"/>
      <w:r w:rsidRPr="00EE4D38">
        <w:rPr>
          <w:rFonts w:cs="Arial"/>
          <w:sz w:val="22"/>
          <w:szCs w:val="22"/>
        </w:rPr>
        <w:t xml:space="preserve"> ser considerada prioridade imediata e absoluta, necessitando de consideração especial, devendo sua proteção sobrepor-se às medidas de ajustes econômicos, sendo universalmente salvaguardados os seus direitos fundamentais.</w:t>
      </w: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Reafirma, também, conforme o princípio do melhor interesse da criança, que é dever dos pais e responsáveis garantir às crianças proteção e cuidados especiais e na falta destes é obrigação do Estado assegurar que instituições e serviços de atendimento o façam.”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693344" w:rsidRPr="00EE4D38">
        <w:rPr>
          <w:rFonts w:cs="Arial"/>
          <w:sz w:val="22"/>
          <w:szCs w:val="22"/>
          <w:vertAlign w:val="superscript"/>
        </w:rPr>
        <w:footnoteReference w:id="8"/>
      </w:r>
      <w:proofErr w:type="gramEnd"/>
    </w:p>
    <w:p w:rsidR="002D53FA" w:rsidRPr="00EE4D38" w:rsidRDefault="002D53FA" w:rsidP="002D53FA">
      <w:pPr>
        <w:spacing w:line="360" w:lineRule="auto"/>
        <w:rPr>
          <w:rFonts w:cs="Arial"/>
          <w:sz w:val="22"/>
          <w:szCs w:val="22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Especificamente no que se refere à temática de crianças e meios de comunicação merecem destaque os artigos 17 e 31, conforme abaixo reproduzidos: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EE4D38">
        <w:rPr>
          <w:rFonts w:cs="Arial"/>
          <w:sz w:val="22"/>
          <w:szCs w:val="22"/>
        </w:rPr>
        <w:t>“Artigo 17</w:t>
      </w:r>
      <w:proofErr w:type="gramEnd"/>
      <w:r w:rsidRPr="00EE4D38">
        <w:rPr>
          <w:rFonts w:cs="Arial"/>
          <w:sz w:val="22"/>
          <w:szCs w:val="22"/>
        </w:rPr>
        <w:t xml:space="preserve"> – Os Estados-parte reconhecem a importante função exercida pelos meios de comunicação de massa e assegurarão que a criança tenha acesso às informações e dados de diversas fontes nacionais e internacionais, especialmente os voltados à promoção de seu bem-estar social, espiritual e moral e saúde física e mental. Para este fim, os Estados-parte:</w:t>
      </w:r>
    </w:p>
    <w:p w:rsidR="002D53FA" w:rsidRPr="00EE4D38" w:rsidRDefault="002D53FA" w:rsidP="00693344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 </w:t>
      </w:r>
      <w:proofErr w:type="gramStart"/>
      <w:r w:rsidRPr="00EE4D38">
        <w:rPr>
          <w:rFonts w:cs="Arial"/>
          <w:sz w:val="22"/>
          <w:szCs w:val="22"/>
        </w:rPr>
        <w:t>encorajarão</w:t>
      </w:r>
      <w:proofErr w:type="gramEnd"/>
      <w:r w:rsidRPr="00EE4D38">
        <w:rPr>
          <w:rFonts w:cs="Arial"/>
          <w:sz w:val="22"/>
          <w:szCs w:val="22"/>
        </w:rPr>
        <w:t xml:space="preserve"> os meios de comunicação a difundir informações e dados de benefício social e cultural à criança e em conformidade com o espírito do artigo 29;</w:t>
      </w:r>
    </w:p>
    <w:p w:rsidR="002D53FA" w:rsidRPr="00EE4D38" w:rsidRDefault="002D53FA" w:rsidP="00693344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 </w:t>
      </w:r>
      <w:proofErr w:type="gramStart"/>
      <w:r w:rsidRPr="00EE4D38">
        <w:rPr>
          <w:rFonts w:cs="Arial"/>
          <w:sz w:val="22"/>
          <w:szCs w:val="22"/>
        </w:rPr>
        <w:t>promoverão</w:t>
      </w:r>
      <w:proofErr w:type="gramEnd"/>
      <w:r w:rsidRPr="00EE4D38">
        <w:rPr>
          <w:rFonts w:cs="Arial"/>
          <w:sz w:val="22"/>
          <w:szCs w:val="22"/>
        </w:rPr>
        <w:t xml:space="preserve"> a cooperação internacional na produção, intercâmbio e na difusão de tais informações e dados de diversas fontes culturais, nacionais e internacionais;</w:t>
      </w:r>
    </w:p>
    <w:p w:rsidR="002D53FA" w:rsidRPr="00EE4D38" w:rsidRDefault="002D53FA" w:rsidP="00693344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 </w:t>
      </w:r>
      <w:proofErr w:type="gramStart"/>
      <w:r w:rsidRPr="00EE4D38">
        <w:rPr>
          <w:rFonts w:cs="Arial"/>
          <w:sz w:val="22"/>
          <w:szCs w:val="22"/>
        </w:rPr>
        <w:t>encorajarão</w:t>
      </w:r>
      <w:proofErr w:type="gramEnd"/>
      <w:r w:rsidRPr="00EE4D38">
        <w:rPr>
          <w:rFonts w:cs="Arial"/>
          <w:sz w:val="22"/>
          <w:szCs w:val="22"/>
        </w:rPr>
        <w:t xml:space="preserve"> a produção e difusão de livros para criança;</w:t>
      </w:r>
    </w:p>
    <w:p w:rsidR="002D53FA" w:rsidRPr="00EE4D38" w:rsidRDefault="002D53FA" w:rsidP="00693344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 </w:t>
      </w:r>
      <w:proofErr w:type="gramStart"/>
      <w:r w:rsidRPr="00EE4D38">
        <w:rPr>
          <w:rFonts w:cs="Arial"/>
          <w:sz w:val="22"/>
          <w:szCs w:val="22"/>
        </w:rPr>
        <w:t>incentivarão</w:t>
      </w:r>
      <w:proofErr w:type="gramEnd"/>
      <w:r w:rsidRPr="00EE4D38">
        <w:rPr>
          <w:rFonts w:cs="Arial"/>
          <w:sz w:val="22"/>
          <w:szCs w:val="22"/>
        </w:rPr>
        <w:t xml:space="preserve"> os órgãos de comunicação a ter particularmente em conta as necessidades linguísticas da criança que pertencer a uma minoria ou que for indígena;</w:t>
      </w:r>
    </w:p>
    <w:p w:rsidR="002D53FA" w:rsidRPr="00EE4D38" w:rsidRDefault="002D53FA" w:rsidP="00693344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 </w:t>
      </w:r>
      <w:proofErr w:type="gramStart"/>
      <w:r w:rsidRPr="00EE4D38">
        <w:rPr>
          <w:rFonts w:cs="Arial"/>
          <w:sz w:val="22"/>
          <w:szCs w:val="22"/>
        </w:rPr>
        <w:t>promoverão</w:t>
      </w:r>
      <w:proofErr w:type="gramEnd"/>
      <w:r w:rsidRPr="00EE4D38">
        <w:rPr>
          <w:rFonts w:cs="Arial"/>
          <w:sz w:val="22"/>
          <w:szCs w:val="22"/>
        </w:rPr>
        <w:t xml:space="preserve"> o desenvolvimento de diretrizes apropriadas à proteção da criança contra informações e dados prejudiciais ao seu bem-estar, levando em conta as disposições dos artigos 13 e 18.”</w:t>
      </w: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/>
        <w:rPr>
          <w:rFonts w:cs="Arial"/>
          <w:sz w:val="22"/>
          <w:szCs w:val="22"/>
        </w:rPr>
      </w:pP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lastRenderedPageBreak/>
        <w:t xml:space="preserve">“Artigo 31 –1. Os Estados-parte reconhecem o direito da criança de estar protegida contra a exploração econômica e contra o desempenho de qualquer trabalho que possa ser perigoso ou interferir em sua educação, </w:t>
      </w:r>
      <w:proofErr w:type="gramStart"/>
      <w:r w:rsidRPr="00EE4D38">
        <w:rPr>
          <w:rFonts w:cs="Arial"/>
          <w:sz w:val="22"/>
          <w:szCs w:val="22"/>
        </w:rPr>
        <w:t>ou seja</w:t>
      </w:r>
      <w:proofErr w:type="gramEnd"/>
      <w:r w:rsidRPr="00EE4D38">
        <w:rPr>
          <w:rFonts w:cs="Arial"/>
          <w:sz w:val="22"/>
          <w:szCs w:val="22"/>
        </w:rPr>
        <w:t xml:space="preserve"> nocivo para saúde ou para seu desenvolvimento físico, mental, espiritual, moral ou social.”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Assim, reforçam-se as percepções de que a exposição de crianças à mídia deve favorecer o seu pleno desenvolvimento físico, mental e emocional e não prejudicá-lo, o que infelizmente ocorre quando da promoção de publicidade a elas dirigidas.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Aliás, sobre o tema, vale indicar trecho do Comentário Geral n. 1, parágrafo 21, do Comitê das Nações Unidas ligado à Convenção Sobre os Direitos da Criança:</w:t>
      </w:r>
    </w:p>
    <w:p w:rsidR="002D53FA" w:rsidRPr="00EE4D38" w:rsidRDefault="002D53FA" w:rsidP="00693344">
      <w:pPr>
        <w:spacing w:line="276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“A mídia, amplamente definida, também tem um papel central a desempenhar tanto na promoção dos valores e objetivos estabelecidos no artigo 29 (1) como assegurando que suas atividades não prejudicarão esforços de outros na promoção destes objetivos. Os governos são obrigados pela Convenção, de acordo com o artigo 17 (a), a adotar todas as medidas para encorajar a mídia de massa a disseminar informações e materiais que beneficiem a criança social e culturalmente.”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693344" w:rsidRPr="00EE4D38">
        <w:rPr>
          <w:rFonts w:cs="Arial"/>
          <w:sz w:val="22"/>
          <w:szCs w:val="22"/>
          <w:vertAlign w:val="superscript"/>
        </w:rPr>
        <w:footnoteReference w:id="9"/>
      </w:r>
      <w:proofErr w:type="gramEnd"/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Em seu artigo 13 também afirma que “</w:t>
      </w:r>
      <w:r w:rsidRPr="00EE4D38">
        <w:rPr>
          <w:rFonts w:cs="Arial"/>
          <w:iCs/>
          <w:sz w:val="24"/>
          <w:szCs w:val="24"/>
        </w:rPr>
        <w:t>A criança terá direito à liberdade de expressão</w:t>
      </w:r>
      <w:r w:rsidRPr="00EE4D38">
        <w:rPr>
          <w:rFonts w:cs="Arial"/>
          <w:sz w:val="24"/>
          <w:szCs w:val="24"/>
        </w:rPr>
        <w:t xml:space="preserve">”, incluindo o da liberdade de procurar e receber informações. No entanto, também prevê, visando proteger a criança, que </w:t>
      </w:r>
      <w:r w:rsidRPr="00EE4D38">
        <w:rPr>
          <w:rFonts w:cs="Arial"/>
          <w:iCs/>
          <w:sz w:val="24"/>
          <w:szCs w:val="24"/>
        </w:rPr>
        <w:t>“O exercício de tal direito poderá estar sujeito a determinadas restrições”</w:t>
      </w:r>
      <w:r w:rsidRPr="00EE4D38">
        <w:rPr>
          <w:rFonts w:cs="Arial"/>
          <w:sz w:val="24"/>
          <w:szCs w:val="24"/>
        </w:rPr>
        <w:t>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Em que pese </w:t>
      </w:r>
      <w:proofErr w:type="gramStart"/>
      <w:r w:rsidRPr="00EE4D38">
        <w:rPr>
          <w:rFonts w:cs="Arial"/>
          <w:sz w:val="24"/>
          <w:szCs w:val="24"/>
        </w:rPr>
        <w:t>a</w:t>
      </w:r>
      <w:proofErr w:type="gramEnd"/>
      <w:r w:rsidRPr="00EE4D38">
        <w:rPr>
          <w:rFonts w:cs="Arial"/>
          <w:sz w:val="24"/>
          <w:szCs w:val="24"/>
        </w:rPr>
        <w:t xml:space="preserve"> responsabilidade dos pais na determinação de horas a que a criança está exposta à mídia, com todo seu vasto conteúdo, e também na escolha dos produtos que serão consumidos pelos pequenos, é importante frisar que a tutela da infância é encargo compartilhado por todos: pais, comunidade, sociedade e Estado, em uma verdadeira rede de proteção. Esse entendimento é endossado pelo Comitê das Nações Unidas para os Direitos da Criança: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lastRenderedPageBreak/>
        <w:t xml:space="preserve">“O Comitê enfatiza que os Estados-partes da Convenção têm a obrigação legal de respeitar e garantir os direitos das crianças como estabelecidos na Convenção, o que inclui a obrigação de assegurar que provedores de serviços </w:t>
      </w:r>
      <w:proofErr w:type="gramStart"/>
      <w:r w:rsidRPr="00EE4D38">
        <w:rPr>
          <w:rFonts w:cs="Arial"/>
          <w:sz w:val="22"/>
          <w:szCs w:val="22"/>
        </w:rPr>
        <w:t>não-estatais</w:t>
      </w:r>
      <w:proofErr w:type="gramEnd"/>
      <w:r w:rsidRPr="00EE4D38">
        <w:rPr>
          <w:rFonts w:cs="Arial"/>
          <w:sz w:val="22"/>
          <w:szCs w:val="22"/>
        </w:rPr>
        <w:t xml:space="preserve"> ajam em conformidade com seus dispositivos, portanto, criando indiretamente obrigações para estes atores.”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r w:rsidR="00693344" w:rsidRPr="00EE4D38">
        <w:rPr>
          <w:rFonts w:cs="Arial"/>
          <w:sz w:val="22"/>
          <w:szCs w:val="22"/>
          <w:vertAlign w:val="superscript"/>
        </w:rPr>
        <w:footnoteReference w:id="10"/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Ainda sobre o assunto, é importante lembrar que essa responsabilidade direcionada à sociedade envolve obrigações positivas e negativas, vale dizer, envolve o dever da sociedade de agir efetivamente para evitar danos e prejuízos à infância e ao saudável desenvolvimento de pessoas com idade entre zero e 12 anos e também o dever de se abster de praticar atos que possam lesionar tão relevante bem jurídico que é a própria proteção integral.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Além disso, a Convenção das Nações Unidas sobre os Direitos da Criança é clara ao expor em seu artigo 3°:</w:t>
      </w:r>
    </w:p>
    <w:p w:rsidR="002D53FA" w:rsidRPr="00EE4D38" w:rsidRDefault="002D53FA" w:rsidP="002D53FA">
      <w:pPr>
        <w:spacing w:line="360" w:lineRule="auto"/>
        <w:ind w:left="2268" w:firstLine="0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b/>
          <w:bCs/>
          <w:sz w:val="22"/>
          <w:szCs w:val="22"/>
        </w:rPr>
      </w:pPr>
      <w:proofErr w:type="gramStart"/>
      <w:r w:rsidRPr="00EE4D38">
        <w:rPr>
          <w:rFonts w:cs="Arial"/>
          <w:sz w:val="22"/>
          <w:szCs w:val="22"/>
        </w:rPr>
        <w:t xml:space="preserve">“1. </w:t>
      </w:r>
      <w:r w:rsidRPr="00EE4D38">
        <w:rPr>
          <w:rFonts w:cs="Arial"/>
          <w:b/>
          <w:bCs/>
          <w:sz w:val="22"/>
          <w:szCs w:val="22"/>
        </w:rPr>
        <w:t>Todas as ações relativas às crianças</w:t>
      </w:r>
      <w:r w:rsidRPr="00EE4D38">
        <w:rPr>
          <w:rFonts w:cs="Arial"/>
          <w:sz w:val="22"/>
          <w:szCs w:val="22"/>
        </w:rPr>
        <w:t xml:space="preserve">, levadas a efeito por instituições públicas ou privadas de bem estar social, tribunais, autoridades administrativas ou órgãos legislativos, </w:t>
      </w:r>
      <w:r w:rsidRPr="00EE4D38">
        <w:rPr>
          <w:rFonts w:cs="Arial"/>
          <w:b/>
          <w:bCs/>
          <w:sz w:val="22"/>
          <w:szCs w:val="22"/>
        </w:rPr>
        <w:t>devem considerar, primordialmente, o maior interesse da criança.</w:t>
      </w:r>
      <w:proofErr w:type="gramEnd"/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2. </w:t>
      </w:r>
      <w:proofErr w:type="gramStart"/>
      <w:r w:rsidRPr="00EE4D38">
        <w:rPr>
          <w:rFonts w:cs="Arial"/>
          <w:sz w:val="22"/>
          <w:szCs w:val="22"/>
        </w:rPr>
        <w:t xml:space="preserve">Os </w:t>
      </w:r>
      <w:r w:rsidRPr="00EE4D38">
        <w:rPr>
          <w:rFonts w:cs="Arial"/>
          <w:b/>
          <w:bCs/>
          <w:sz w:val="22"/>
          <w:szCs w:val="22"/>
        </w:rPr>
        <w:t>Estados Partes</w:t>
      </w:r>
      <w:proofErr w:type="gramEnd"/>
      <w:r w:rsidRPr="00EE4D38">
        <w:rPr>
          <w:rFonts w:cs="Arial"/>
          <w:b/>
          <w:bCs/>
          <w:sz w:val="22"/>
          <w:szCs w:val="22"/>
        </w:rPr>
        <w:t xml:space="preserve"> se comprometem a assegurar à criança a proteção e o cuidado que sejam necessários ao seu bem estar</w:t>
      </w:r>
      <w:r w:rsidRPr="00EE4D38">
        <w:rPr>
          <w:rFonts w:cs="Arial"/>
          <w:sz w:val="22"/>
          <w:szCs w:val="22"/>
        </w:rPr>
        <w:t>, levando em consideração os direitos e deveres de seus pais, tutores ou outras pessoas responsáveis por ela perante a lei e, com essa finalidade, tomarão todas as medidas legislativas e administrativas adequadas.</w:t>
      </w: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3. </w:t>
      </w:r>
      <w:proofErr w:type="gramStart"/>
      <w:r w:rsidRPr="00EE4D38">
        <w:rPr>
          <w:rFonts w:cs="Arial"/>
          <w:b/>
          <w:bCs/>
          <w:sz w:val="22"/>
          <w:szCs w:val="22"/>
        </w:rPr>
        <w:t>Os Estados Partes</w:t>
      </w:r>
      <w:proofErr w:type="gramEnd"/>
      <w:r w:rsidRPr="00EE4D38">
        <w:rPr>
          <w:rFonts w:cs="Arial"/>
          <w:b/>
          <w:bCs/>
          <w:sz w:val="22"/>
          <w:szCs w:val="22"/>
        </w:rPr>
        <w:t xml:space="preserve"> se certificarão de que as instituições, os serviços e os estabelecimentos encarregados do cuidado ou da proteção das crianças cumpram os padrões estabelecidos</w:t>
      </w:r>
      <w:r w:rsidRPr="00EE4D38">
        <w:rPr>
          <w:rFonts w:cs="Arial"/>
          <w:sz w:val="22"/>
          <w:szCs w:val="22"/>
        </w:rPr>
        <w:t xml:space="preserve"> pelas autoridades competentes, especialmente no que diz respeito à segurança e à saúde das crianças, ao número e à competência de seu pessoal e à existência de supervisão adequada.” (grifos inseridos)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Nesse sentido, merece destaque o artigo 4º, </w:t>
      </w:r>
      <w:proofErr w:type="gramStart"/>
      <w:r w:rsidRPr="00EE4D38">
        <w:rPr>
          <w:rFonts w:cs="Arial"/>
          <w:sz w:val="24"/>
          <w:szCs w:val="24"/>
        </w:rPr>
        <w:t>do ECA</w:t>
      </w:r>
      <w:proofErr w:type="gramEnd"/>
      <w:r w:rsidRPr="00EE4D38">
        <w:rPr>
          <w:rFonts w:cs="Arial"/>
          <w:sz w:val="24"/>
          <w:szCs w:val="24"/>
        </w:rPr>
        <w:t xml:space="preserve">, que em absoluta consonância com o artigo 227 da Constituição Federal, e com a Convenção da ONU, </w:t>
      </w:r>
      <w:r w:rsidRPr="00EE4D38">
        <w:rPr>
          <w:rFonts w:cs="Arial"/>
          <w:sz w:val="24"/>
          <w:szCs w:val="24"/>
        </w:rPr>
        <w:lastRenderedPageBreak/>
        <w:t xml:space="preserve">determina que a proteção da infância é responsabilidade coletiva e compartilhada pela família, sociedade e Estado: </w:t>
      </w:r>
    </w:p>
    <w:p w:rsidR="002D53FA" w:rsidRPr="00EE4D38" w:rsidRDefault="002D53FA" w:rsidP="002D53FA">
      <w:pPr>
        <w:spacing w:line="360" w:lineRule="auto"/>
        <w:rPr>
          <w:rFonts w:cs="Arial"/>
          <w:i/>
          <w:sz w:val="24"/>
          <w:szCs w:val="24"/>
        </w:rPr>
      </w:pP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“É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comunitária.”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Repisando a ideia expressa no artigo 227 do texto constitucional este artigo 4º deixa claro que nenhum destes entes, nominalmente identificados e destinados como guardiões da infância, pode se escusar de atuar para a garantia da proteção integral a todas as crianças. De acordo com DALMO DE ABREU DALLARI: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“(...) são igualmente responsáveis pela criança </w:t>
      </w:r>
      <w:proofErr w:type="gramStart"/>
      <w:r w:rsidRPr="00EE4D38">
        <w:rPr>
          <w:rFonts w:cs="Arial"/>
          <w:sz w:val="22"/>
          <w:szCs w:val="22"/>
        </w:rPr>
        <w:t>a</w:t>
      </w:r>
      <w:proofErr w:type="gramEnd"/>
      <w:r w:rsidRPr="00EE4D38">
        <w:rPr>
          <w:rFonts w:cs="Arial"/>
          <w:sz w:val="22"/>
          <w:szCs w:val="22"/>
        </w:rPr>
        <w:t xml:space="preserve"> família, a sociedade e o Estado, não cabendo a qualquer dessas entidades assumir com exclusividade as tarefas, nem ficando alguma delas isenta de responsabilidade.”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r w:rsidR="00693344" w:rsidRPr="00EE4D38">
        <w:rPr>
          <w:rFonts w:cs="Arial"/>
          <w:sz w:val="22"/>
          <w:szCs w:val="22"/>
          <w:vertAlign w:val="superscript"/>
        </w:rPr>
        <w:footnoteReference w:id="11"/>
      </w:r>
      <w:r w:rsidRPr="00EE4D38">
        <w:rPr>
          <w:rFonts w:cs="Arial"/>
          <w:sz w:val="22"/>
          <w:szCs w:val="22"/>
        </w:rPr>
        <w:t xml:space="preserve">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E no mesmo sentido continua o eminente jurista: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“Essa exigência [de se oferecer cuidados especiais à infância e adolescência] também se aplica à família, à comunidade, e à sociedade. Cada uma dessas entidades, no âmbito de suas respectivas atribuições e no uso de seus recursos, está legalmente obrigada a colocar entre seus objetivos preferenciais o cuidado das crianças e dos adolescentes. A prioridade aí prevista tem um objetivo prático, que é a concretização de direitos enumerados no próprio art. 4º do Estatuto, e que são os seguintes: direito à vida, à saúde, à alimentação, à educação, ao esporte, ao lazer, à profissionalização, à cultura, à dignidade, ao respeito, à liberdade e à convivência familiar e comunitária.”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693344" w:rsidRPr="00EE4D38">
        <w:rPr>
          <w:rFonts w:cs="Arial"/>
          <w:sz w:val="22"/>
          <w:szCs w:val="22"/>
          <w:vertAlign w:val="superscript"/>
        </w:rPr>
        <w:footnoteReference w:id="12"/>
      </w:r>
      <w:proofErr w:type="gramEnd"/>
      <w:r w:rsidRPr="00EE4D38">
        <w:rPr>
          <w:rFonts w:cs="Arial"/>
          <w:sz w:val="22"/>
          <w:szCs w:val="22"/>
        </w:rPr>
        <w:t xml:space="preserve">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Com relação à necessidade de proteção integral e absoluta, assegurada por todos, é importante pensar na atuação das empresas privadas, que têm o mesmo </w:t>
      </w:r>
      <w:proofErr w:type="gramStart"/>
      <w:r w:rsidRPr="00EE4D38">
        <w:rPr>
          <w:rFonts w:cs="Arial"/>
          <w:sz w:val="24"/>
          <w:szCs w:val="24"/>
        </w:rPr>
        <w:lastRenderedPageBreak/>
        <w:t>dever</w:t>
      </w:r>
      <w:proofErr w:type="gramEnd"/>
      <w:r w:rsidRPr="00EE4D38">
        <w:rPr>
          <w:rFonts w:cs="Arial"/>
          <w:sz w:val="24"/>
          <w:szCs w:val="24"/>
        </w:rPr>
        <w:t xml:space="preserve"> de promover a proteção da infância e de se absterem de realizar ações que venham ofender este princípio. </w:t>
      </w:r>
    </w:p>
    <w:p w:rsidR="002D53FA" w:rsidRPr="00EE4D38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EE4D38" w:rsidRDefault="002D53FA" w:rsidP="002D53FA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 xml:space="preserve">Proteção das crianças nas relações de consumo.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983995" w:rsidRPr="00983995" w:rsidRDefault="00983995" w:rsidP="00983995">
      <w:pPr>
        <w:spacing w:line="360" w:lineRule="auto"/>
        <w:rPr>
          <w:rFonts w:cs="Arial"/>
          <w:sz w:val="24"/>
          <w:szCs w:val="24"/>
        </w:rPr>
      </w:pPr>
      <w:r w:rsidRPr="00983995">
        <w:rPr>
          <w:rFonts w:cs="Arial"/>
          <w:sz w:val="24"/>
          <w:szCs w:val="24"/>
        </w:rPr>
        <w:t xml:space="preserve">A regulamentação da publicidade no ordenamento jurídico brasileiro é feita pelo Código de Defesa do Consumidor – Lei nº 8.78/1990 (CDC) e pela Resolução nº 163/2014 do </w:t>
      </w:r>
      <w:r w:rsidRPr="00983995">
        <w:rPr>
          <w:rFonts w:cs="Arial"/>
          <w:sz w:val="24"/>
        </w:rPr>
        <w:t xml:space="preserve">Conselho Nacional dos Direitos da Criança e do Adolescente - </w:t>
      </w:r>
      <w:proofErr w:type="spellStart"/>
      <w:r w:rsidRPr="00983995">
        <w:rPr>
          <w:rFonts w:cs="Arial"/>
          <w:sz w:val="24"/>
        </w:rPr>
        <w:t>Conanda</w:t>
      </w:r>
      <w:proofErr w:type="spellEnd"/>
      <w:r w:rsidRPr="00983995">
        <w:rPr>
          <w:rFonts w:cs="Arial"/>
          <w:sz w:val="24"/>
          <w:szCs w:val="24"/>
        </w:rPr>
        <w:t xml:space="preserve">, não havendo previsão expressa nesse sentido </w:t>
      </w:r>
      <w:proofErr w:type="gramStart"/>
      <w:r w:rsidRPr="00983995">
        <w:rPr>
          <w:rFonts w:cs="Arial"/>
          <w:sz w:val="24"/>
          <w:szCs w:val="24"/>
        </w:rPr>
        <w:t>no ECA</w:t>
      </w:r>
      <w:proofErr w:type="gramEnd"/>
      <w:r w:rsidRPr="00983995">
        <w:rPr>
          <w:rFonts w:cs="Arial"/>
          <w:sz w:val="24"/>
          <w:szCs w:val="24"/>
        </w:rPr>
        <w:t xml:space="preserve"> ou na Convenção da ONU.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Por serem presumidamente hipossuficientes no âmbito das relações de consumo, as crianças têm a seu favor a garantia de uma série de direitos e proteções, valendo ser </w:t>
      </w:r>
      <w:proofErr w:type="gramStart"/>
      <w:r w:rsidRPr="00EE4D38">
        <w:rPr>
          <w:rFonts w:cs="Arial"/>
          <w:sz w:val="24"/>
          <w:szCs w:val="24"/>
        </w:rPr>
        <w:t>observado, nesse exato sentido, que a exacerbada vulnerabilidade em função da idade é</w:t>
      </w:r>
      <w:proofErr w:type="gramEnd"/>
      <w:r w:rsidRPr="00EE4D38">
        <w:rPr>
          <w:rFonts w:cs="Arial"/>
          <w:sz w:val="24"/>
          <w:szCs w:val="24"/>
        </w:rPr>
        <w:t xml:space="preserve"> preocupação expressa do Código de Defesa do Consumidor.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Assim, o CDC, no tocante ao público infantil, determina, no seu artigo 37, §2º, que a publicidade não pode se aproveitar da deficiência de julgamento e experiência da criança, </w:t>
      </w:r>
      <w:proofErr w:type="gramStart"/>
      <w:r w:rsidRPr="00EE4D38">
        <w:rPr>
          <w:rFonts w:cs="Arial"/>
          <w:sz w:val="24"/>
          <w:szCs w:val="24"/>
        </w:rPr>
        <w:t>sob pena</w:t>
      </w:r>
      <w:proofErr w:type="gramEnd"/>
      <w:r w:rsidRPr="00EE4D38">
        <w:rPr>
          <w:rFonts w:cs="Arial"/>
          <w:sz w:val="24"/>
          <w:szCs w:val="24"/>
        </w:rPr>
        <w:t xml:space="preserve"> de ser considerada abusiva e, portanto, ilegal.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983995" w:rsidRPr="00A1526D" w:rsidRDefault="00983995" w:rsidP="00983995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Art. 37.</w:t>
      </w:r>
      <w:proofErr w:type="gramEnd"/>
      <w:r w:rsidRPr="00A1526D">
        <w:rPr>
          <w:rFonts w:asciiTheme="minorHAnsi" w:hAnsiTheme="minorHAnsi" w:cs="Arial"/>
          <w:color w:val="000000"/>
          <w:sz w:val="22"/>
          <w:szCs w:val="22"/>
        </w:rPr>
        <w:t xml:space="preserve"> É proibida toda publicidade enganosa ou abusiva.</w:t>
      </w:r>
    </w:p>
    <w:p w:rsidR="00983995" w:rsidRPr="00A1526D" w:rsidRDefault="00983995" w:rsidP="00983995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(...)</w:t>
      </w:r>
    </w:p>
    <w:p w:rsidR="00983995" w:rsidRPr="00A1526D" w:rsidRDefault="00983995" w:rsidP="00983995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§ 2° É abusiva, dentre outras a publicidade discriminatória de qualquer natureza, a que incite à violência, explore o medo ou a superstição</w:t>
      </w:r>
      <w:r w:rsidRPr="00A1526D">
        <w:rPr>
          <w:rFonts w:asciiTheme="minorHAnsi" w:hAnsiTheme="minorHAnsi" w:cs="Arial"/>
          <w:b/>
          <w:color w:val="000000"/>
          <w:sz w:val="22"/>
          <w:szCs w:val="22"/>
        </w:rPr>
        <w:t>, se aproveite da deficiência de julgamento e experiência da criança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, desrespeita valores ambientais, ou que seja capaz de induzir o consumidor a se comportar de forma prejudicial ou perigosa à sua saúde ou segurança</w:t>
      </w:r>
      <w:r>
        <w:rPr>
          <w:rFonts w:asciiTheme="minorHAnsi" w:hAnsiTheme="minorHAnsi" w:cs="Arial"/>
          <w:color w:val="000000"/>
          <w:sz w:val="22"/>
          <w:szCs w:val="22"/>
        </w:rPr>
        <w:t>”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. (grifos inseridos</w:t>
      </w:r>
      <w:proofErr w:type="gramStart"/>
      <w:r w:rsidRPr="00A1526D">
        <w:rPr>
          <w:rFonts w:asciiTheme="minorHAnsi" w:hAnsiTheme="minorHAnsi" w:cs="Arial"/>
          <w:color w:val="000000"/>
          <w:sz w:val="22"/>
          <w:szCs w:val="22"/>
        </w:rPr>
        <w:t>)</w:t>
      </w:r>
      <w:proofErr w:type="gramEnd"/>
    </w:p>
    <w:p w:rsidR="00983995" w:rsidRPr="00A1526D" w:rsidRDefault="00983995" w:rsidP="00983995">
      <w:pPr>
        <w:spacing w:line="360" w:lineRule="auto"/>
        <w:rPr>
          <w:rFonts w:cs="Arial"/>
          <w:sz w:val="24"/>
          <w:szCs w:val="24"/>
        </w:rPr>
      </w:pPr>
    </w:p>
    <w:p w:rsidR="00983995" w:rsidRPr="00A1526D" w:rsidRDefault="00983995" w:rsidP="0098399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A1526D">
        <w:rPr>
          <w:rFonts w:cs="Arial"/>
          <w:sz w:val="24"/>
          <w:szCs w:val="24"/>
        </w:rPr>
        <w:t xml:space="preserve"> artigo 39, inciso IV</w:t>
      </w:r>
      <w:r>
        <w:rPr>
          <w:rFonts w:cs="Arial"/>
          <w:sz w:val="24"/>
          <w:szCs w:val="24"/>
        </w:rPr>
        <w:t xml:space="preserve">, do CDC, </w:t>
      </w:r>
      <w:r w:rsidRPr="00A1526D">
        <w:rPr>
          <w:rFonts w:cs="Arial"/>
          <w:sz w:val="24"/>
          <w:szCs w:val="24"/>
        </w:rPr>
        <w:t xml:space="preserve"> proíbe, como prática abusiva, ao fornecedor valer-se da </w:t>
      </w:r>
      <w:r w:rsidRPr="00A1526D">
        <w:rPr>
          <w:rFonts w:cs="Arial"/>
          <w:iCs/>
          <w:sz w:val="24"/>
          <w:szCs w:val="24"/>
        </w:rPr>
        <w:t>“</w:t>
      </w:r>
      <w:r w:rsidRPr="00A1526D">
        <w:rPr>
          <w:rFonts w:cs="Arial"/>
          <w:b/>
          <w:bCs/>
          <w:iCs/>
          <w:sz w:val="24"/>
          <w:szCs w:val="24"/>
        </w:rPr>
        <w:t>fraqueza ou ignorância do consumidor, tendo em vista sua idade</w:t>
      </w:r>
      <w:r w:rsidRPr="00A1526D">
        <w:rPr>
          <w:rFonts w:cs="Arial"/>
          <w:iCs/>
          <w:sz w:val="24"/>
          <w:szCs w:val="24"/>
        </w:rPr>
        <w:t>, saúde, conhecimento ou condição social, para impingir-lhe seus produtos ou serviços”</w:t>
      </w:r>
      <w:r w:rsidRPr="00A1526D">
        <w:rPr>
          <w:rFonts w:cs="Arial"/>
          <w:sz w:val="24"/>
          <w:szCs w:val="24"/>
        </w:rPr>
        <w:t xml:space="preserve"> (grifos inseridos).</w:t>
      </w:r>
    </w:p>
    <w:p w:rsidR="00983995" w:rsidRPr="00983995" w:rsidRDefault="00983995" w:rsidP="00983995">
      <w:pPr>
        <w:spacing w:line="360" w:lineRule="auto"/>
        <w:rPr>
          <w:rFonts w:cs="Arial"/>
          <w:sz w:val="24"/>
          <w:szCs w:val="24"/>
        </w:rPr>
      </w:pPr>
    </w:p>
    <w:p w:rsidR="00983995" w:rsidRPr="00983995" w:rsidRDefault="00983995" w:rsidP="00983995">
      <w:pPr>
        <w:pStyle w:val="Default"/>
        <w:spacing w:line="360" w:lineRule="auto"/>
        <w:ind w:firstLine="709"/>
        <w:jc w:val="both"/>
        <w:rPr>
          <w:color w:val="auto"/>
        </w:rPr>
      </w:pPr>
      <w:r w:rsidRPr="00983995">
        <w:rPr>
          <w:rFonts w:cs="Arial"/>
          <w:color w:val="auto"/>
        </w:rPr>
        <w:lastRenderedPageBreak/>
        <w:t xml:space="preserve">Além disso, com o objetivo de reforçar o caráter de ilegalidade da publicidade direcionada ao público infantil, a Resolução nº 163 do </w:t>
      </w:r>
      <w:proofErr w:type="spellStart"/>
      <w:r w:rsidRPr="00983995">
        <w:rPr>
          <w:rFonts w:cs="Arial"/>
          <w:color w:val="auto"/>
        </w:rPr>
        <w:t>Conanda</w:t>
      </w:r>
      <w:proofErr w:type="spellEnd"/>
      <w:r w:rsidRPr="00983995">
        <w:rPr>
          <w:rFonts w:cs="Arial"/>
          <w:color w:val="auto"/>
        </w:rPr>
        <w:t>,</w:t>
      </w:r>
      <w:r w:rsidRPr="00983995">
        <w:rPr>
          <w:color w:val="auto"/>
        </w:rPr>
        <w:t xml:space="preserve"> aprovada na plenária de 13.3.2014, por unanimidade dos membros do Conselho, e tornada pública quando publicada no Diário Oficial da União em 4.4.2014, definiu </w:t>
      </w:r>
      <w:r w:rsidRPr="00983995">
        <w:rPr>
          <w:color w:val="auto"/>
          <w:szCs w:val="26"/>
        </w:rPr>
        <w:t xml:space="preserve">critérios para identificação das estratégias de publicidade e comunicação mercadológica abusivas, a partir do princípio da proteção integral da criança e limites legais previstos no Código de Defesa do Consumidor, especialmente nos artigos 36 e 37, </w:t>
      </w:r>
      <w:r w:rsidRPr="00983995">
        <w:rPr>
          <w:i/>
          <w:iCs/>
          <w:color w:val="auto"/>
          <w:szCs w:val="26"/>
        </w:rPr>
        <w:t xml:space="preserve">caput </w:t>
      </w:r>
      <w:r w:rsidRPr="00983995">
        <w:rPr>
          <w:color w:val="auto"/>
          <w:szCs w:val="26"/>
        </w:rPr>
        <w:t>e §2º.</w:t>
      </w:r>
    </w:p>
    <w:p w:rsidR="00983995" w:rsidRPr="00983995" w:rsidRDefault="00983995" w:rsidP="00983995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983995" w:rsidRPr="00983995" w:rsidRDefault="00983995" w:rsidP="00983995">
      <w:pPr>
        <w:pStyle w:val="Default"/>
        <w:spacing w:line="360" w:lineRule="auto"/>
        <w:ind w:firstLine="709"/>
        <w:jc w:val="both"/>
        <w:rPr>
          <w:color w:val="auto"/>
        </w:rPr>
      </w:pPr>
      <w:r w:rsidRPr="00983995">
        <w:rPr>
          <w:color w:val="auto"/>
        </w:rPr>
        <w:t xml:space="preserve">Segundo o disposto na resolução, </w:t>
      </w:r>
      <w:r w:rsidRPr="00983995">
        <w:rPr>
          <w:bCs/>
          <w:color w:val="auto"/>
        </w:rPr>
        <w:t>é abusiva</w:t>
      </w:r>
      <w:r w:rsidRPr="00983995">
        <w:rPr>
          <w:b/>
          <w:bCs/>
          <w:color w:val="auto"/>
        </w:rPr>
        <w:t xml:space="preserve"> </w:t>
      </w:r>
      <w:r w:rsidRPr="00983995">
        <w:rPr>
          <w:color w:val="auto"/>
        </w:rPr>
        <w:t xml:space="preserve">“a prática do direcionamento de publicidade e comunicação mercadológica à criança com a intenção de persuadi-la para o consumo de qualquer produto ou serviço”, por meio de aspectos como linguagem infantil, efeitos especiais e excesso de cores; trilhas sonoras de músicas infantis ou cantadas por vozes de criança; representação de criança; pessoas ou celebridades com apelo ao público infantil; personagens ou apresentadores infantis; desenho animado ou de animação; bonecos ou similares; </w:t>
      </w:r>
      <w:proofErr w:type="gramStart"/>
      <w:r w:rsidRPr="00983995">
        <w:rPr>
          <w:color w:val="auto"/>
        </w:rPr>
        <w:t>promoção com distribuição de prêmios ou de brindes colecionáveis</w:t>
      </w:r>
      <w:proofErr w:type="gramEnd"/>
      <w:r w:rsidRPr="00983995">
        <w:rPr>
          <w:color w:val="auto"/>
        </w:rPr>
        <w:t xml:space="preserve"> ou com apelos ao público infantil; e promoção com competições ou jogos com apelo ao público infantil.</w:t>
      </w:r>
    </w:p>
    <w:p w:rsidR="00983995" w:rsidRPr="00983995" w:rsidRDefault="00983995" w:rsidP="00983995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983995" w:rsidRPr="00983995" w:rsidRDefault="00983995" w:rsidP="00983995">
      <w:pPr>
        <w:pStyle w:val="Default"/>
        <w:spacing w:line="360" w:lineRule="auto"/>
        <w:ind w:firstLine="709"/>
        <w:jc w:val="both"/>
        <w:rPr>
          <w:color w:val="auto"/>
        </w:rPr>
      </w:pPr>
      <w:r w:rsidRPr="00983995">
        <w:rPr>
          <w:color w:val="auto"/>
        </w:rPr>
        <w:t xml:space="preserve">O documento normativo define como 'comunicação mercadológica' toda e qualquer atividade de comunicação comercial, inclusive publicidade, para a divulgação de produtos, serviços, marcas e empresas. Abrange dentre outras ferramentas, anúncios impressos, comerciais televisivos, spots de rádio, banners e páginas na internet, embalagens, promoções, merchandising, ações por meio de shows e apresentações e disposição dos produtos nos pontos de vendas, realizadas, dentre outros meios e lugares, em eventos, espaços públicos, páginas de internet, canais televisivos, em qualquer horário, por meio de qualquer suporte </w:t>
      </w:r>
      <w:proofErr w:type="gramStart"/>
      <w:r w:rsidRPr="00983995">
        <w:rPr>
          <w:color w:val="auto"/>
        </w:rPr>
        <w:t>ou mídia, no interior de creches e das instituições escolares da educação infantil e fundamental, inclusive em seus uniformes escolares ou materiais didáticos, seja de produtos ou serviços relacionados à infância ou</w:t>
      </w:r>
      <w:proofErr w:type="gramEnd"/>
      <w:r w:rsidRPr="00983995">
        <w:rPr>
          <w:color w:val="auto"/>
        </w:rPr>
        <w:t xml:space="preserve"> relacionados ao público adolescente e adulto. </w:t>
      </w:r>
    </w:p>
    <w:p w:rsidR="00983995" w:rsidRPr="00983995" w:rsidRDefault="00983995" w:rsidP="00983995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983995" w:rsidRPr="00983995" w:rsidRDefault="00983995" w:rsidP="00983995">
      <w:pPr>
        <w:spacing w:line="360" w:lineRule="auto"/>
        <w:rPr>
          <w:sz w:val="24"/>
          <w:szCs w:val="24"/>
        </w:rPr>
      </w:pPr>
      <w:r w:rsidRPr="00983995">
        <w:rPr>
          <w:sz w:val="24"/>
          <w:szCs w:val="24"/>
        </w:rPr>
        <w:t xml:space="preserve">Sendo assim, uma vez que define que será abusiva a prática do direcionamento de publicidade e de comunicação mercadológica à criança, a resolução tem como </w:t>
      </w:r>
      <w:r w:rsidRPr="00983995">
        <w:rPr>
          <w:sz w:val="24"/>
          <w:szCs w:val="24"/>
        </w:rPr>
        <w:lastRenderedPageBreak/>
        <w:t xml:space="preserve">efeito prático a ilegalidade dessas estratégias, pois o Código de Defesa do Consumidor (CDC) proíbe, por meio do </w:t>
      </w:r>
      <w:r w:rsidRPr="00983995">
        <w:rPr>
          <w:i/>
          <w:sz w:val="24"/>
          <w:szCs w:val="24"/>
        </w:rPr>
        <w:t xml:space="preserve">caput </w:t>
      </w:r>
      <w:r w:rsidRPr="00983995">
        <w:rPr>
          <w:sz w:val="24"/>
          <w:szCs w:val="24"/>
        </w:rPr>
        <w:t>de seu artigo 37, qualquer forma de publicidade compreendida como abusiva.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Mas não é só. Um dos princípios fundamentais que rege a publicidade no país é o ‘princípio da identificação da mensagem publicitária’, por meio do qual, nos termos do artigo 36 do CDC, </w:t>
      </w:r>
      <w:r w:rsidRPr="00EE4D38">
        <w:rPr>
          <w:rFonts w:cs="Arial"/>
          <w:iCs/>
          <w:sz w:val="24"/>
          <w:szCs w:val="24"/>
        </w:rPr>
        <w:t>“a publicidade deve ser veiculada de tal forma que o consumidor, fácil e imediatamente a identifique como tal”</w:t>
      </w:r>
      <w:r w:rsidRPr="00EE4D38">
        <w:rPr>
          <w:rFonts w:cs="Arial"/>
          <w:sz w:val="24"/>
          <w:szCs w:val="24"/>
        </w:rPr>
        <w:t>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Existem inúmeras pesquisas, pareceres e estudos realizados não só no Brasil, como no exterior – sendo um dos mais relevantes o estudo realizado pelo sociólogo ERLING BJURSTRÖM</w:t>
      </w:r>
      <w:r w:rsidRPr="00EE4D38">
        <w:rPr>
          <w:rFonts w:cs="Arial"/>
          <w:sz w:val="24"/>
          <w:szCs w:val="24"/>
          <w:vertAlign w:val="superscript"/>
        </w:rPr>
        <w:footnoteReference w:id="13"/>
      </w:r>
      <w:r w:rsidRPr="00EE4D38">
        <w:rPr>
          <w:rFonts w:cs="Arial"/>
          <w:sz w:val="24"/>
          <w:szCs w:val="24"/>
        </w:rPr>
        <w:t xml:space="preserve"> demonstrando que </w:t>
      </w:r>
      <w:r w:rsidRPr="00EE4D38">
        <w:rPr>
          <w:rFonts w:cs="Arial"/>
          <w:bCs/>
          <w:sz w:val="24"/>
          <w:szCs w:val="24"/>
        </w:rPr>
        <w:t>as crianças, assim consideradas as pessoas de até doze anos de idade, não têm condições de entender as mensagens publicitárias que lhes são dirigidas, por não conseguirem distingui-las da programação na qual são inseridas, nem, tampouco, compreender seu caráter persuasivo</w:t>
      </w:r>
      <w:r w:rsidRPr="00EE4D38">
        <w:rPr>
          <w:rFonts w:cs="Arial"/>
          <w:sz w:val="24"/>
          <w:szCs w:val="24"/>
        </w:rPr>
        <w:t>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Daí tem-se que as crianças não conseguem identificar a publicidade como tal e, portanto, qualquer publicidade que lhes seja dirigida, em qualquer suporte de mídia, viola também o princípio da identificação da mensagem publicitária, infringindo igualmente o disposto no artigo 36 do CDC.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Esse é o grande problema da publicidade voltada ao público infantil no país – que a torna carregada de abusividade e ilegalidade -–, porquanto se vale, para seu sucesso, ou seja, para conseguir vender os produtos que anuncia e atrair a atenção desse público alvo, justamente da deficiência de julgamento e experiência da criança.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Por conta da especial fase de desenvolvimento </w:t>
      </w:r>
      <w:proofErr w:type="spellStart"/>
      <w:r w:rsidRPr="00EE4D38">
        <w:rPr>
          <w:rFonts w:cs="Arial"/>
          <w:sz w:val="24"/>
          <w:szCs w:val="24"/>
        </w:rPr>
        <w:t>bio-psicológico</w:t>
      </w:r>
      <w:proofErr w:type="spellEnd"/>
      <w:r w:rsidRPr="00EE4D38">
        <w:rPr>
          <w:rFonts w:cs="Arial"/>
          <w:sz w:val="24"/>
          <w:szCs w:val="24"/>
        </w:rPr>
        <w:t xml:space="preserve"> das crianças, sua capacidade de posicionamento crítico frente ao mundo ainda não está plenamente </w:t>
      </w:r>
      <w:r w:rsidRPr="00EE4D38">
        <w:rPr>
          <w:rFonts w:cs="Arial"/>
          <w:sz w:val="24"/>
          <w:szCs w:val="24"/>
        </w:rPr>
        <w:lastRenderedPageBreak/>
        <w:t>desenvolvida, e, portanto, nas relações de consumo nas quais se envolvem serão sempre consideradas hipossuficientes.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Nesse sentido JOSÉ DE FARIAS TAVARES</w:t>
      </w:r>
      <w:r w:rsidRPr="00EE4D38">
        <w:rPr>
          <w:rFonts w:cs="Arial"/>
          <w:sz w:val="24"/>
          <w:szCs w:val="24"/>
          <w:vertAlign w:val="superscript"/>
        </w:rPr>
        <w:footnoteReference w:id="14"/>
      </w:r>
      <w:r w:rsidRPr="00EE4D38">
        <w:rPr>
          <w:rFonts w:cs="Arial"/>
          <w:sz w:val="24"/>
          <w:szCs w:val="24"/>
        </w:rPr>
        <w:t xml:space="preserve">, ao estabelecer quem são os sujeitos infanto-juvenis de direito, observa que as crianças são </w:t>
      </w:r>
      <w:r w:rsidRPr="00EE4D38">
        <w:rPr>
          <w:rFonts w:cs="Arial"/>
          <w:iCs/>
          <w:sz w:val="24"/>
          <w:szCs w:val="24"/>
        </w:rPr>
        <w:t xml:space="preserve">“legalmente </w:t>
      </w:r>
      <w:r w:rsidRPr="00EE4D38">
        <w:rPr>
          <w:rFonts w:cs="Arial"/>
          <w:b/>
          <w:bCs/>
          <w:iCs/>
          <w:sz w:val="24"/>
          <w:szCs w:val="24"/>
        </w:rPr>
        <w:t>presumidos hipossuficientes</w:t>
      </w:r>
      <w:r w:rsidRPr="00EE4D38">
        <w:rPr>
          <w:rFonts w:cs="Arial"/>
          <w:iCs/>
          <w:sz w:val="24"/>
          <w:szCs w:val="24"/>
        </w:rPr>
        <w:t>, titulares da proteção integral e prioritária”</w:t>
      </w:r>
      <w:r w:rsidRPr="00EE4D38">
        <w:rPr>
          <w:rFonts w:cs="Arial"/>
          <w:sz w:val="24"/>
          <w:szCs w:val="24"/>
        </w:rPr>
        <w:t xml:space="preserve"> (grifos inseridos).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Em semelhante sentido, ANTÔNIO HERMAN DE VASCONCELLOS E BENJAMIN</w:t>
      </w:r>
      <w:r w:rsidRPr="00EE4D38">
        <w:rPr>
          <w:rFonts w:cs="Arial"/>
          <w:sz w:val="24"/>
          <w:szCs w:val="24"/>
          <w:vertAlign w:val="superscript"/>
        </w:rPr>
        <w:footnoteReference w:id="15"/>
      </w:r>
      <w:r w:rsidRPr="00EE4D38">
        <w:rPr>
          <w:rFonts w:cs="Arial"/>
          <w:sz w:val="24"/>
          <w:szCs w:val="24"/>
        </w:rPr>
        <w:t xml:space="preserve"> assevera:</w:t>
      </w:r>
    </w:p>
    <w:p w:rsidR="002D53FA" w:rsidRPr="00EE4D38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EE4D38" w:rsidRDefault="002D53FA" w:rsidP="00693344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“A hipossuficiência pode ser físico-psíquica, econômica ou meramente circunstancial. O Código, no seu esforço enumerativo, mencionou expressamente a proteção especial que merece a criança contra os abusos publicitários.</w:t>
      </w:r>
    </w:p>
    <w:p w:rsidR="002D53FA" w:rsidRPr="00EE4D38" w:rsidRDefault="002D53FA" w:rsidP="00693344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O Código menciona, expressamente, a questão da publicidade que envolva a criança como uma daquelas a merecer atenção especial. </w:t>
      </w:r>
      <w:proofErr w:type="gramStart"/>
      <w:r w:rsidRPr="00EE4D38">
        <w:rPr>
          <w:rFonts w:cs="Arial"/>
          <w:b/>
          <w:bCs/>
          <w:sz w:val="22"/>
          <w:szCs w:val="22"/>
        </w:rPr>
        <w:t>É</w:t>
      </w:r>
      <w:proofErr w:type="gramEnd"/>
      <w:r w:rsidRPr="00EE4D38">
        <w:rPr>
          <w:rFonts w:cs="Arial"/>
          <w:b/>
          <w:bCs/>
          <w:sz w:val="22"/>
          <w:szCs w:val="22"/>
        </w:rPr>
        <w:t xml:space="preserve"> em função do reconhecimento dessa vulnerabilidade exacerbada (hipossuficiência, então)</w:t>
      </w:r>
      <w:r w:rsidRPr="00EE4D38">
        <w:rPr>
          <w:rFonts w:cs="Arial"/>
          <w:sz w:val="22"/>
          <w:szCs w:val="22"/>
        </w:rPr>
        <w:t xml:space="preserve"> que alguns parâmetros especiais devem ser traçados.” (grifos inseridos)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Assim também entende o Conselho Federal de Psicologia, que, representado pelo psicólogo RICARDO MORETZOHN, por ocasião da audiência pública realizada na Câmara dos Deputados Federais, ocorrida em 30.8.2007, manifestou-se da seguinte forma</w:t>
      </w:r>
      <w:r w:rsidRPr="00EE4D38">
        <w:rPr>
          <w:rFonts w:cs="Arial"/>
          <w:sz w:val="24"/>
          <w:szCs w:val="24"/>
          <w:vertAlign w:val="superscript"/>
        </w:rPr>
        <w:footnoteReference w:id="16"/>
      </w:r>
      <w:r w:rsidRPr="00EE4D38">
        <w:rPr>
          <w:rFonts w:cs="Arial"/>
          <w:sz w:val="24"/>
          <w:szCs w:val="24"/>
        </w:rPr>
        <w:t>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“Autonomia intelectual e moral é construída paulatinamente. </w:t>
      </w:r>
      <w:r w:rsidRPr="00EE4D38">
        <w:rPr>
          <w:rFonts w:cs="Arial"/>
          <w:b/>
          <w:bCs/>
          <w:sz w:val="22"/>
          <w:szCs w:val="22"/>
        </w:rPr>
        <w:t>É preciso esperar, em média, a idade dos 12 anos para que o indivíduo possua um repertório cognitivo capaz de liberá-lo, do ponto de vista tanto cognitivo quanto moral, da forte referência a fontes exteriores de prestígio e autoridade</w:t>
      </w:r>
      <w:r w:rsidRPr="00EE4D38">
        <w:rPr>
          <w:rFonts w:cs="Arial"/>
          <w:sz w:val="22"/>
          <w:szCs w:val="22"/>
        </w:rPr>
        <w:t xml:space="preserve">. Como as propagandas para o público infantil costumam ser veiculadas pela mídia e a mídia costuma ser vista como instituição de prestígio, é certo que seu poder de influência pode ser grande sobre as crianças. Logo, </w:t>
      </w:r>
      <w:r w:rsidRPr="00EE4D38">
        <w:rPr>
          <w:rFonts w:cs="Arial"/>
          <w:b/>
          <w:bCs/>
          <w:sz w:val="22"/>
          <w:szCs w:val="22"/>
        </w:rPr>
        <w:t xml:space="preserve">existe a </w:t>
      </w:r>
      <w:r w:rsidRPr="00EE4D38">
        <w:rPr>
          <w:rFonts w:cs="Arial"/>
          <w:b/>
          <w:bCs/>
          <w:sz w:val="22"/>
          <w:szCs w:val="22"/>
        </w:rPr>
        <w:lastRenderedPageBreak/>
        <w:t>tendência de a criança julgar que aquilo que mostram é realmente como é e que aquilo que dizem ser sensacional, necessário, de valor realmente tem essas qualidades</w:t>
      </w:r>
      <w:r w:rsidRPr="00EE4D38">
        <w:rPr>
          <w:rFonts w:cs="Arial"/>
          <w:sz w:val="22"/>
          <w:szCs w:val="22"/>
        </w:rPr>
        <w:t>.” (grifos inseridos</w:t>
      </w:r>
      <w:proofErr w:type="gramStart"/>
      <w:r w:rsidRPr="00EE4D38">
        <w:rPr>
          <w:rFonts w:cs="Arial"/>
          <w:sz w:val="22"/>
          <w:szCs w:val="22"/>
        </w:rPr>
        <w:t>)</w:t>
      </w:r>
      <w:proofErr w:type="gramEnd"/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Toda a publicidade abusiva é ilegal, nos termos do artigo 37, §2º do Código de Defesa do Consumidor, lembrando que assim o será aquela que, nas palavras de PAULO JORGE SCARTEZZINI GUIMARÃES</w:t>
      </w:r>
      <w:r w:rsidRPr="00EE4D38">
        <w:rPr>
          <w:rFonts w:cs="Arial"/>
          <w:sz w:val="24"/>
          <w:szCs w:val="24"/>
          <w:vertAlign w:val="superscript"/>
        </w:rPr>
        <w:footnoteReference w:id="17"/>
      </w:r>
      <w:r w:rsidRPr="00EE4D38">
        <w:rPr>
          <w:rFonts w:cs="Arial"/>
          <w:sz w:val="24"/>
          <w:szCs w:val="24"/>
        </w:rPr>
        <w:t xml:space="preserve">, </w:t>
      </w:r>
      <w:r w:rsidRPr="00EE4D38">
        <w:rPr>
          <w:rFonts w:cs="Arial"/>
          <w:iCs/>
          <w:sz w:val="24"/>
          <w:szCs w:val="24"/>
        </w:rPr>
        <w:t>“ofende a ordem pública, ou não é ética ou é opressiva ou inescrupulosa”</w:t>
      </w:r>
      <w:r w:rsidRPr="00EE4D38">
        <w:rPr>
          <w:rFonts w:cs="Arial"/>
          <w:sz w:val="24"/>
          <w:szCs w:val="24"/>
        </w:rPr>
        <w:t>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Por se aproveitar do desenvolvimento incompleto das crianças, da sua natural credulidade e falta de posicionamento crítico para impor produtos, a publicidade dirigida a crianças restringe significativamente a possibilidade de escolha das crianças, substituindo seus desejos espontâneos por apelos de mercado. Assim entende o psiquiatra e estudioso do tema DAVID LÉO LEVISKY: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0"/>
          <w:szCs w:val="24"/>
        </w:rPr>
        <w:t>“</w:t>
      </w:r>
      <w:r w:rsidRPr="00EE4D38">
        <w:rPr>
          <w:rFonts w:cs="Arial"/>
          <w:sz w:val="22"/>
          <w:szCs w:val="22"/>
        </w:rPr>
        <w:t xml:space="preserve">Há um tipo de publicidade que tende a mecanizar o público, seduzindo, impondo, iludindo, persuadindo, condicionando, para influir no poder de compra do consumidor, fazendo com que ele perca a noção e a seletividade de seus próprios desejos. Essa espécie de indução inconsciente ao consumo, quando incessante e descontrolada, pode trazer graves </w:t>
      </w:r>
      <w:r w:rsidR="00693344" w:rsidRPr="00EE4D38">
        <w:rPr>
          <w:rFonts w:cs="Arial"/>
          <w:sz w:val="22"/>
          <w:szCs w:val="22"/>
        </w:rPr>
        <w:t>consequências</w:t>
      </w:r>
      <w:r w:rsidRPr="00EE4D38">
        <w:rPr>
          <w:rFonts w:cs="Arial"/>
          <w:sz w:val="22"/>
          <w:szCs w:val="22"/>
        </w:rPr>
        <w:t xml:space="preserve"> à formação da criança. Isso afeta sua capacidade de escolha; o espaço interno se torna controlado pelos estímulos externos e não pelas manifestações autênticas e espontâneas da pessoa.”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693344" w:rsidRPr="00EE4D38">
        <w:rPr>
          <w:rFonts w:cs="Arial"/>
          <w:sz w:val="22"/>
          <w:szCs w:val="22"/>
          <w:vertAlign w:val="superscript"/>
        </w:rPr>
        <w:footnoteReference w:id="18"/>
      </w:r>
      <w:proofErr w:type="gramEnd"/>
      <w:r w:rsidRPr="00EE4D38">
        <w:rPr>
          <w:rFonts w:cs="Arial"/>
          <w:sz w:val="22"/>
          <w:szCs w:val="22"/>
        </w:rPr>
        <w:t xml:space="preserve">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Com relação a essa abusividade, cumpre ressaltar que as mensagens difundidas por meio da comunicação mercadológica dirigida a crianças não são éticas, bem ao contrário são inescrupulosas e ofendem frontalmente a ordem pública. Por suas inerentes características, vale-se de subterfúgios e técnicas de convencimento perante um ser que é mais vulnerável — e mesmo presumidamente hipossuficiente — incapaz não só de compreender e se defender de tais artimanhas, mas mesmo de praticar – </w:t>
      </w:r>
      <w:r w:rsidRPr="00EE4D38">
        <w:rPr>
          <w:rFonts w:cs="Arial"/>
          <w:sz w:val="24"/>
          <w:szCs w:val="24"/>
        </w:rPr>
        <w:lastRenderedPageBreak/>
        <w:t>inclusive por força legal – os atos da vida civil, como, por exemplo, firmar contratos de compra e venda</w:t>
      </w:r>
      <w:r w:rsidRPr="00EE4D38">
        <w:rPr>
          <w:rFonts w:cs="Arial"/>
          <w:sz w:val="24"/>
          <w:szCs w:val="24"/>
          <w:vertAlign w:val="superscript"/>
        </w:rPr>
        <w:footnoteReference w:id="19"/>
      </w:r>
      <w:r w:rsidRPr="00EE4D38">
        <w:rPr>
          <w:rFonts w:cs="Arial"/>
          <w:sz w:val="24"/>
          <w:szCs w:val="24"/>
        </w:rPr>
        <w:t>.</w:t>
      </w:r>
    </w:p>
    <w:p w:rsidR="002D53FA" w:rsidRPr="00EE4D38" w:rsidRDefault="002D53FA" w:rsidP="002D53FA">
      <w:pPr>
        <w:pStyle w:val="PargrafodaLista"/>
        <w:spacing w:line="360" w:lineRule="auto"/>
        <w:ind w:left="426" w:hanging="426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O fato de as pessoas menores de 16 anos de idade não serem autorizadas a praticar todos os atos da vida civil, como os contratos, reflete a situação da criança de impossibilidade de se </w:t>
      </w:r>
      <w:r w:rsidR="00693344" w:rsidRPr="00EE4D38">
        <w:rPr>
          <w:rFonts w:cs="Arial"/>
          <w:sz w:val="24"/>
          <w:szCs w:val="24"/>
        </w:rPr>
        <w:t>autodeterminar</w:t>
      </w:r>
      <w:r w:rsidRPr="00EE4D38">
        <w:rPr>
          <w:rFonts w:cs="Arial"/>
          <w:sz w:val="24"/>
          <w:szCs w:val="24"/>
        </w:rPr>
        <w:t xml:space="preserve"> perante terceiros. Isso, no entanto, não significa que esta pessoa tenha menos direitos, mas ao contrário, a Lei lhe garante mais proteções exatamente para preservar esta fragilidade temporária da criança. Segundo a já citada advogada e professora de Direito de Família e de Direito da Criança e do Adolescente da PUC/RJ e UERJ, TÂNIA DA SILVA PEREIRA: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 xml:space="preserve">“O Direito Civil Brasileiro refere-se ao instituto da ‘Personalidade Jurídica’ ou ‘Capacidade de Direito’ como ‘aptidão genérica para adquirir direitos e contrair obrigações’, distinguindo-a da ‘Capacidade de Fato’ ou ‘Capacidade de exercício’, como ‘aptidão para utilizá-los e exercê-los por si mesmo’. Considera o mesmo autor [Caio Mário da Silva Pereira] que ‘a capacidade de direito, de gozo ou de aquisição não pode ser recusada ao indivíduo sob pena de desprovê-lo da personalidade. Por isso dizemos que todo homem é dela dotado, em princípio’. (...) ‘Aos indivíduos, às vezes, faltam requisitos materiais para dirigirem-se com autonomia no mundo civil. Embora não lhes negue </w:t>
      </w:r>
      <w:proofErr w:type="gramStart"/>
      <w:r w:rsidRPr="00EE4D38">
        <w:rPr>
          <w:rFonts w:cs="Arial"/>
          <w:sz w:val="22"/>
          <w:szCs w:val="22"/>
        </w:rPr>
        <w:t>a ordem jurídica a capacidade</w:t>
      </w:r>
      <w:proofErr w:type="gramEnd"/>
      <w:r w:rsidRPr="00EE4D38">
        <w:rPr>
          <w:rFonts w:cs="Arial"/>
          <w:sz w:val="22"/>
          <w:szCs w:val="22"/>
        </w:rPr>
        <w:t xml:space="preserve"> de gozo ou de aquisição, recusa-lhes a autodeterminação, interdizendo-lhes o exercício dos direitos, pessoal e diretamente porém, condicionado sempre à intervenção de uma outra pessoa que o representa ou assiste’.</w:t>
      </w:r>
    </w:p>
    <w:p w:rsidR="002D53FA" w:rsidRPr="00EE4D38" w:rsidRDefault="002D53FA" w:rsidP="00693344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EE4D38">
        <w:rPr>
          <w:rFonts w:cs="Arial"/>
          <w:sz w:val="22"/>
          <w:szCs w:val="22"/>
        </w:rPr>
        <w:t>(...) Segundo Caio Mário da Silva Pereira, ‘diante da inexperiência, do incompleto desenvolvimento das faculdades intelectuais, a facilidade de se deixar influenciar por outrem, a falta de autodeterminação ou de auto-orientação impõem a completa abolição da capacidade de ação’.”</w:t>
      </w:r>
      <w:r w:rsidR="00693344" w:rsidRPr="00693344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693344" w:rsidRPr="00EE4D38">
        <w:rPr>
          <w:rFonts w:cs="Arial"/>
          <w:sz w:val="22"/>
          <w:szCs w:val="22"/>
          <w:vertAlign w:val="superscript"/>
        </w:rPr>
        <w:footnoteReference w:id="20"/>
      </w:r>
      <w:proofErr w:type="gramEnd"/>
      <w:r w:rsidRPr="00EE4D38">
        <w:rPr>
          <w:rFonts w:cs="Arial"/>
          <w:sz w:val="22"/>
          <w:szCs w:val="22"/>
        </w:rPr>
        <w:t xml:space="preserve"> 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Assim, é preciso que a criança seja preservada da maciça influência publicitária em sua infância, de maneira que possa desenvolver-se plenamente e alcançar a </w:t>
      </w:r>
      <w:r w:rsidRPr="00EE4D38">
        <w:rPr>
          <w:rFonts w:cs="Arial"/>
          <w:sz w:val="24"/>
          <w:szCs w:val="24"/>
        </w:rPr>
        <w:lastRenderedPageBreak/>
        <w:t>maturidade da idade adulta com capacidade de exercer plenamente seu direito de escolha.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bCs/>
          <w:sz w:val="24"/>
          <w:szCs w:val="24"/>
        </w:rPr>
      </w:pPr>
      <w:r w:rsidRPr="00EE4D38">
        <w:rPr>
          <w:rFonts w:cs="Arial"/>
          <w:bCs/>
          <w:sz w:val="24"/>
          <w:szCs w:val="24"/>
        </w:rPr>
        <w:t>Assim, tendo-se em vista que a publicidade dirigida ao público infantil não é ética, é ilegal e ofende a proteção integral, de que são titulares todas as crianças brasileiras, é inadmissível a conduta da empresa ora denunciada, que promove clara e intencionalmente publicidade abusiva dirigida às crianças.</w:t>
      </w:r>
    </w:p>
    <w:p w:rsidR="002D53FA" w:rsidRPr="00EE4D38" w:rsidRDefault="002D53FA" w:rsidP="002D53FA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2D53FA" w:rsidRPr="00EE4D38" w:rsidRDefault="002D53FA" w:rsidP="002D53FA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>Razões da abusividade da publicidade direcionada pela empresa denunciada à criança e suas consequências negativas para o desenvolvimento infantil.</w:t>
      </w:r>
    </w:p>
    <w:p w:rsidR="002D53FA" w:rsidRPr="00EE4D38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EE4D38" w:rsidRDefault="002D53FA" w:rsidP="002D53FA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EE4D38">
        <w:rPr>
          <w:rFonts w:cs="Arial"/>
          <w:i/>
          <w:color w:val="0070C0"/>
          <w:sz w:val="24"/>
          <w:szCs w:val="24"/>
        </w:rPr>
        <w:t>(Identificar os argumentos que se aplicam ao caso concreto)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>Mistura de fantasia com realidade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>Uso de entretenimento para transmissão de mensagens comerciais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>Transmissão de valores consumistas e materialistas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>Estímulo à adoção de hábitos alimentares não saudáveis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 xml:space="preserve">Invasão do espaço escolar 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 xml:space="preserve">Internet 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 xml:space="preserve">Violência 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>Erotização Precoce</w:t>
      </w:r>
    </w:p>
    <w:p w:rsidR="002D53FA" w:rsidRPr="00EE4D38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proofErr w:type="gramStart"/>
      <w:r w:rsidRPr="00EE4D38">
        <w:rPr>
          <w:rFonts w:cs="Arial"/>
          <w:color w:val="0070C0"/>
          <w:sz w:val="24"/>
          <w:szCs w:val="24"/>
        </w:rPr>
        <w:t>.....</w:t>
      </w:r>
      <w:proofErr w:type="gramEnd"/>
    </w:p>
    <w:p w:rsidR="002D53FA" w:rsidRPr="00EE4D38" w:rsidRDefault="002D53FA" w:rsidP="00693344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</w:p>
    <w:p w:rsidR="008912C6" w:rsidRPr="00EE4D38" w:rsidRDefault="008912C6" w:rsidP="00B352F0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EE4D38">
        <w:rPr>
          <w:rFonts w:cs="Arial"/>
          <w:b/>
          <w:sz w:val="24"/>
          <w:szCs w:val="24"/>
        </w:rPr>
        <w:t>Pedido</w:t>
      </w:r>
      <w:r w:rsidR="00D330E2" w:rsidRPr="00EE4D38">
        <w:rPr>
          <w:rFonts w:cs="Arial"/>
          <w:b/>
          <w:sz w:val="24"/>
          <w:szCs w:val="24"/>
        </w:rPr>
        <w:t>.</w:t>
      </w:r>
    </w:p>
    <w:p w:rsidR="00F32929" w:rsidRPr="00EE4D38" w:rsidRDefault="00F32929" w:rsidP="00B352F0">
      <w:pPr>
        <w:spacing w:line="360" w:lineRule="auto"/>
        <w:rPr>
          <w:rFonts w:cs="Arial"/>
          <w:b/>
          <w:sz w:val="24"/>
          <w:szCs w:val="24"/>
        </w:rPr>
      </w:pPr>
    </w:p>
    <w:p w:rsidR="00D26856" w:rsidRPr="00EE4D38" w:rsidRDefault="00D26856" w:rsidP="00B352F0">
      <w:pPr>
        <w:spacing w:line="360" w:lineRule="auto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 xml:space="preserve">Por todo o exposto, </w:t>
      </w:r>
      <w:r w:rsidR="00D330E2" w:rsidRPr="00EE4D38">
        <w:rPr>
          <w:rFonts w:cs="Arial"/>
          <w:sz w:val="24"/>
          <w:szCs w:val="24"/>
        </w:rPr>
        <w:t xml:space="preserve">e como medida de garantia da prioridade absoluta dos direitos da criança, assegurada no artigo 227 da Constituição Federal, </w:t>
      </w:r>
      <w:r w:rsidR="00F8309C" w:rsidRPr="00EE4D38">
        <w:rPr>
          <w:rFonts w:cs="Arial"/>
          <w:sz w:val="24"/>
          <w:szCs w:val="24"/>
        </w:rPr>
        <w:t xml:space="preserve">bem como no Estatuto da Criança e do Adolescente, </w:t>
      </w:r>
      <w:r w:rsidR="00D330E2" w:rsidRPr="00EE4D38">
        <w:rPr>
          <w:rFonts w:cs="Arial"/>
          <w:sz w:val="24"/>
          <w:szCs w:val="24"/>
        </w:rPr>
        <w:t xml:space="preserve">requer </w:t>
      </w:r>
      <w:r w:rsidRPr="00EE4D38">
        <w:rPr>
          <w:rFonts w:cs="Arial"/>
          <w:sz w:val="24"/>
          <w:szCs w:val="24"/>
        </w:rPr>
        <w:t>a</w:t>
      </w:r>
      <w:r w:rsidR="00F8309C" w:rsidRPr="00EE4D38">
        <w:rPr>
          <w:rFonts w:cs="Arial"/>
          <w:sz w:val="24"/>
          <w:szCs w:val="24"/>
        </w:rPr>
        <w:t xml:space="preserve"> esse </w:t>
      </w:r>
      <w:r w:rsidRPr="00EE4D38">
        <w:rPr>
          <w:rFonts w:cs="Arial"/>
          <w:sz w:val="24"/>
          <w:szCs w:val="24"/>
        </w:rPr>
        <w:t xml:space="preserve">ilustre </w:t>
      </w:r>
      <w:r w:rsidR="00F8309C" w:rsidRPr="00EE4D38">
        <w:rPr>
          <w:rFonts w:cs="Arial"/>
          <w:sz w:val="24"/>
          <w:szCs w:val="24"/>
        </w:rPr>
        <w:t xml:space="preserve">Ministério Público, cuja atribuição constitucional é a defesa da ordem jurídica, do regime democrático e dos interesses sociais e individuais indisponíveis, </w:t>
      </w:r>
      <w:r w:rsidR="00D330E2" w:rsidRPr="00EE4D38">
        <w:rPr>
          <w:rFonts w:cs="Arial"/>
          <w:sz w:val="24"/>
          <w:szCs w:val="24"/>
        </w:rPr>
        <w:t>que, no âmbito de sua competência, adote</w:t>
      </w:r>
      <w:r w:rsidRPr="00EE4D38">
        <w:rPr>
          <w:rFonts w:cs="Arial"/>
          <w:sz w:val="24"/>
          <w:szCs w:val="24"/>
        </w:rPr>
        <w:t xml:space="preserve"> </w:t>
      </w:r>
      <w:r w:rsidR="00D330E2" w:rsidRPr="00EE4D38">
        <w:rPr>
          <w:rFonts w:cs="Arial"/>
          <w:sz w:val="24"/>
          <w:szCs w:val="24"/>
        </w:rPr>
        <w:t>as medidas legais cabíveis para coibir</w:t>
      </w:r>
      <w:r w:rsidRPr="00EE4D38">
        <w:rPr>
          <w:rFonts w:cs="Arial"/>
          <w:sz w:val="24"/>
          <w:szCs w:val="24"/>
        </w:rPr>
        <w:t xml:space="preserve"> </w:t>
      </w:r>
      <w:r w:rsidR="00D330E2" w:rsidRPr="00EE4D38">
        <w:rPr>
          <w:rFonts w:cs="Arial"/>
          <w:sz w:val="24"/>
          <w:szCs w:val="24"/>
        </w:rPr>
        <w:t>a abusiva, e</w:t>
      </w:r>
      <w:proofErr w:type="gramStart"/>
      <w:r w:rsidR="00D330E2" w:rsidRPr="00EE4D38">
        <w:rPr>
          <w:rFonts w:cs="Arial"/>
          <w:sz w:val="24"/>
          <w:szCs w:val="24"/>
        </w:rPr>
        <w:t xml:space="preserve"> portanto</w:t>
      </w:r>
      <w:proofErr w:type="gramEnd"/>
      <w:r w:rsidR="00D330E2" w:rsidRPr="00EE4D38">
        <w:rPr>
          <w:rFonts w:cs="Arial"/>
          <w:sz w:val="24"/>
          <w:szCs w:val="24"/>
        </w:rPr>
        <w:t xml:space="preserve">, ilegal </w:t>
      </w:r>
      <w:r w:rsidRPr="00EE4D38">
        <w:rPr>
          <w:rFonts w:cs="Arial"/>
          <w:sz w:val="24"/>
          <w:szCs w:val="24"/>
        </w:rPr>
        <w:t>prática de direci</w:t>
      </w:r>
      <w:r w:rsidR="00D330E2" w:rsidRPr="00EE4D38">
        <w:rPr>
          <w:rFonts w:cs="Arial"/>
          <w:sz w:val="24"/>
          <w:szCs w:val="24"/>
        </w:rPr>
        <w:t>onamento da publicidade</w:t>
      </w:r>
      <w:r w:rsidRPr="00EE4D38">
        <w:rPr>
          <w:rFonts w:cs="Arial"/>
          <w:sz w:val="24"/>
          <w:szCs w:val="24"/>
        </w:rPr>
        <w:t xml:space="preserve"> a crianças</w:t>
      </w:r>
      <w:r w:rsidR="00D330E2" w:rsidRPr="00EE4D38">
        <w:rPr>
          <w:rFonts w:cs="Arial"/>
          <w:sz w:val="24"/>
          <w:szCs w:val="24"/>
        </w:rPr>
        <w:t xml:space="preserve">, conforme disposto nos artigos 37, § 2º </w:t>
      </w:r>
      <w:r w:rsidR="00C54242" w:rsidRPr="00EE4D38">
        <w:rPr>
          <w:rFonts w:cs="Arial"/>
          <w:sz w:val="24"/>
          <w:szCs w:val="24"/>
        </w:rPr>
        <w:t xml:space="preserve">c/c 36, e </w:t>
      </w:r>
      <w:r w:rsidR="00D330E2" w:rsidRPr="00EE4D38">
        <w:rPr>
          <w:rFonts w:cs="Arial"/>
          <w:sz w:val="24"/>
          <w:szCs w:val="24"/>
        </w:rPr>
        <w:t>39, I</w:t>
      </w:r>
      <w:r w:rsidR="00C54242" w:rsidRPr="00EE4D38">
        <w:rPr>
          <w:rFonts w:cs="Arial"/>
          <w:sz w:val="24"/>
          <w:szCs w:val="24"/>
        </w:rPr>
        <w:t>V</w:t>
      </w:r>
      <w:r w:rsidR="00D330E2" w:rsidRPr="00EE4D38">
        <w:rPr>
          <w:rFonts w:cs="Arial"/>
          <w:sz w:val="24"/>
          <w:szCs w:val="24"/>
        </w:rPr>
        <w:t xml:space="preserve">, do </w:t>
      </w:r>
      <w:r w:rsidR="00983995">
        <w:rPr>
          <w:rFonts w:cs="Arial"/>
          <w:sz w:val="24"/>
          <w:szCs w:val="24"/>
        </w:rPr>
        <w:t xml:space="preserve">Código de Defesa do Consumidor e na Resolução 163/2014, do </w:t>
      </w:r>
      <w:proofErr w:type="spellStart"/>
      <w:r w:rsidR="00983995">
        <w:rPr>
          <w:rFonts w:cs="Arial"/>
          <w:sz w:val="24"/>
          <w:szCs w:val="24"/>
        </w:rPr>
        <w:lastRenderedPageBreak/>
        <w:t>Conanda</w:t>
      </w:r>
      <w:proofErr w:type="spellEnd"/>
      <w:r w:rsidR="00983995">
        <w:rPr>
          <w:rFonts w:cs="Arial"/>
          <w:sz w:val="24"/>
          <w:szCs w:val="24"/>
        </w:rPr>
        <w:t xml:space="preserve"> (Conselho Nacional dos Direitos da Criança e do Adolescente) </w:t>
      </w:r>
      <w:r w:rsidR="00D330E2" w:rsidRPr="00EE4D38">
        <w:rPr>
          <w:rFonts w:cs="Arial"/>
          <w:sz w:val="24"/>
          <w:szCs w:val="24"/>
        </w:rPr>
        <w:t xml:space="preserve">por parte da empresa </w:t>
      </w:r>
      <w:r w:rsidR="00C54242" w:rsidRPr="00EE4D38">
        <w:rPr>
          <w:rFonts w:cs="Arial"/>
          <w:sz w:val="24"/>
          <w:szCs w:val="24"/>
        </w:rPr>
        <w:t>denunciada</w:t>
      </w:r>
      <w:r w:rsidR="00F8309C" w:rsidRPr="00EE4D38">
        <w:rPr>
          <w:rFonts w:cs="Arial"/>
          <w:sz w:val="24"/>
          <w:szCs w:val="24"/>
        </w:rPr>
        <w:t>.</w:t>
      </w:r>
    </w:p>
    <w:p w:rsidR="00B028F9" w:rsidRPr="00EE4D38" w:rsidRDefault="00B028F9" w:rsidP="00B352F0">
      <w:pPr>
        <w:spacing w:line="360" w:lineRule="auto"/>
        <w:rPr>
          <w:rFonts w:cs="Arial"/>
          <w:sz w:val="24"/>
          <w:szCs w:val="24"/>
        </w:rPr>
      </w:pPr>
    </w:p>
    <w:p w:rsidR="00F32929" w:rsidRPr="00693344" w:rsidRDefault="004C2258" w:rsidP="00EE4D38">
      <w:pPr>
        <w:spacing w:line="360" w:lineRule="auto"/>
        <w:ind w:firstLine="0"/>
        <w:rPr>
          <w:rFonts w:cs="Arial"/>
          <w:sz w:val="24"/>
          <w:szCs w:val="24"/>
        </w:rPr>
      </w:pPr>
      <w:r w:rsidRPr="00EE4D38">
        <w:rPr>
          <w:rFonts w:cs="Arial"/>
          <w:sz w:val="24"/>
          <w:szCs w:val="24"/>
        </w:rPr>
        <w:t>Cordialmente,</w:t>
      </w:r>
    </w:p>
    <w:p w:rsidR="00F32929" w:rsidRPr="00EE4D38" w:rsidRDefault="00F32929" w:rsidP="00B352F0">
      <w:pPr>
        <w:spacing w:line="360" w:lineRule="auto"/>
        <w:rPr>
          <w:rFonts w:cs="Arial"/>
          <w:b/>
          <w:sz w:val="24"/>
          <w:szCs w:val="24"/>
        </w:rPr>
      </w:pPr>
    </w:p>
    <w:p w:rsidR="00693344" w:rsidRPr="00693344" w:rsidRDefault="00693344" w:rsidP="00693344">
      <w:pPr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</w:t>
      </w:r>
      <w:r w:rsidRPr="00693344">
        <w:rPr>
          <w:rFonts w:cs="Arial"/>
          <w:sz w:val="24"/>
          <w:szCs w:val="24"/>
        </w:rPr>
        <w:t>______</w:t>
      </w:r>
    </w:p>
    <w:p w:rsidR="00F32929" w:rsidRPr="00EE4D38" w:rsidRDefault="00EE4D38" w:rsidP="00693344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  <w:r w:rsidRPr="00EE4D38">
        <w:rPr>
          <w:rFonts w:cs="Arial"/>
          <w:color w:val="0070C0"/>
          <w:sz w:val="24"/>
          <w:szCs w:val="24"/>
        </w:rPr>
        <w:t>(</w:t>
      </w:r>
      <w:r w:rsidR="00F50941" w:rsidRPr="00EE4D38">
        <w:rPr>
          <w:rFonts w:cs="Arial"/>
          <w:color w:val="0070C0"/>
          <w:sz w:val="24"/>
          <w:szCs w:val="24"/>
        </w:rPr>
        <w:t>Nome / Assinatura</w:t>
      </w:r>
      <w:r w:rsidRPr="00EE4D38">
        <w:rPr>
          <w:rFonts w:cs="Arial"/>
          <w:color w:val="0070C0"/>
          <w:sz w:val="24"/>
          <w:szCs w:val="24"/>
        </w:rPr>
        <w:t>)</w:t>
      </w:r>
    </w:p>
    <w:sectPr w:rsidR="00F32929" w:rsidRPr="00EE4D38" w:rsidSect="002448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3A" w:rsidRDefault="00A43A3A" w:rsidP="00B20D76">
      <w:r>
        <w:separator/>
      </w:r>
    </w:p>
  </w:endnote>
  <w:endnote w:type="continuationSeparator" w:id="0">
    <w:p w:rsidR="00A43A3A" w:rsidRDefault="00A43A3A" w:rsidP="00B2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3A" w:rsidRDefault="00A43A3A" w:rsidP="00B20D76">
      <w:r>
        <w:separator/>
      </w:r>
    </w:p>
  </w:footnote>
  <w:footnote w:type="continuationSeparator" w:id="0">
    <w:p w:rsidR="00A43A3A" w:rsidRDefault="00A43A3A" w:rsidP="00B20D76">
      <w:r>
        <w:continuationSeparator/>
      </w:r>
    </w:p>
  </w:footnote>
  <w:footnote w:id="1">
    <w:p w:rsidR="002D53FA" w:rsidRPr="00983995" w:rsidRDefault="002D53FA" w:rsidP="00EE4D38">
      <w:pPr>
        <w:pStyle w:val="Textodenotaderodap"/>
      </w:pPr>
      <w:r w:rsidRPr="00983995">
        <w:rPr>
          <w:rStyle w:val="Refdenotaderodap"/>
        </w:rPr>
        <w:footnoteRef/>
      </w:r>
      <w:r w:rsidRPr="00983995">
        <w:t xml:space="preserve"> Assim entendida qualquer atividade de comunicação comercial para a divulgação de produtos e serviços independentemente do suporte ou do meio utilizado; ou seja, além de anúncios impressos, comerciais televisivos, spots de rádio e banners na Internet, são exemplos de comunicação mercadológica as embalagens, as promoções, o merchandising, e a forma de disposição de produtos em pontos de vendas, dentre outras.</w:t>
      </w:r>
    </w:p>
  </w:footnote>
  <w:footnote w:id="2">
    <w:p w:rsidR="00983995" w:rsidRDefault="00983995" w:rsidP="00983995">
      <w:pPr>
        <w:pStyle w:val="Default"/>
        <w:jc w:val="both"/>
      </w:pPr>
      <w:r w:rsidRPr="00983995">
        <w:rPr>
          <w:rStyle w:val="Refdenotaderodap"/>
          <w:color w:val="auto"/>
        </w:rPr>
        <w:footnoteRef/>
      </w:r>
      <w:r w:rsidRPr="00983995">
        <w:rPr>
          <w:color w:val="auto"/>
        </w:rPr>
        <w:t xml:space="preserve"> </w:t>
      </w:r>
      <w:r w:rsidRPr="00983995">
        <w:rPr>
          <w:color w:val="auto"/>
          <w:sz w:val="20"/>
          <w:szCs w:val="20"/>
        </w:rPr>
        <w:t>O Conselho Nacional dos Direitos da Criança e do Adolescente</w:t>
      </w:r>
      <w:r w:rsidRPr="00983995">
        <w:rPr>
          <w:b/>
          <w:bCs/>
          <w:color w:val="auto"/>
          <w:sz w:val="20"/>
          <w:szCs w:val="20"/>
        </w:rPr>
        <w:t xml:space="preserve"> </w:t>
      </w:r>
      <w:r w:rsidRPr="00983995">
        <w:rPr>
          <w:color w:val="auto"/>
          <w:sz w:val="20"/>
          <w:szCs w:val="20"/>
        </w:rPr>
        <w:t>(</w:t>
      </w:r>
      <w:proofErr w:type="spellStart"/>
      <w:r w:rsidRPr="00983995">
        <w:rPr>
          <w:color w:val="auto"/>
          <w:sz w:val="20"/>
          <w:szCs w:val="20"/>
        </w:rPr>
        <w:t>Conanda</w:t>
      </w:r>
      <w:proofErr w:type="spellEnd"/>
      <w:r w:rsidRPr="00983995">
        <w:rPr>
          <w:color w:val="auto"/>
          <w:sz w:val="20"/>
          <w:szCs w:val="20"/>
        </w:rPr>
        <w:t>), vinculado à Secretaria Especial de Direitos Humanos da Presidência da República, é um órgão colegiado de caráter normativo e deliberativo, que atua como instância máxima de formulação, deliberação e controle das políticas públicas para a infância e a adolescência na esfera federal. Criado pela Lei nº 8.242/1991, e composto por representantes de entidades da sociedade civil e de ministérios do Governo Federal, é o órgão responsável por tornar efetivos os direitos, princípios e diretrizes contidos no Estatuto da Criança e do Adolescente, Lei nº 8.069/1990.</w:t>
      </w:r>
    </w:p>
  </w:footnote>
  <w:footnote w:id="3">
    <w:p w:rsidR="00983995" w:rsidRDefault="00983995" w:rsidP="00983995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proofErr w:type="gramStart"/>
      <w:r w:rsidRPr="00983995">
        <w:t>http://pesquisa.in.gov.br/imprensa/jsp/visualiza/index.</w:t>
      </w:r>
      <w:proofErr w:type="gramEnd"/>
      <w:r w:rsidRPr="00983995">
        <w:t>jsp?</w:t>
      </w:r>
      <w:proofErr w:type="gramStart"/>
      <w:r w:rsidRPr="00983995">
        <w:t>jornal</w:t>
      </w:r>
      <w:proofErr w:type="gramEnd"/>
      <w:r w:rsidRPr="00983995">
        <w:t>=1&amp;pagina=4&amp;data=04/04/2014</w:t>
      </w:r>
      <w:r>
        <w:t>. Acesso em 19.5.2014.</w:t>
      </w:r>
    </w:p>
  </w:footnote>
  <w:footnote w:id="4">
    <w:p w:rsidR="002D53FA" w:rsidRPr="00EE4D38" w:rsidRDefault="002D53FA" w:rsidP="00EE4D38">
      <w:pPr>
        <w:pStyle w:val="Textodenotaderodap"/>
      </w:pPr>
      <w:r w:rsidRPr="00EE4D38">
        <w:rPr>
          <w:rStyle w:val="Refdenotaderodap"/>
        </w:rPr>
        <w:footnoteRef/>
      </w:r>
      <w:r w:rsidRPr="00EE4D38">
        <w:t xml:space="preserve"> JUNIOR, Vidal Serrano. </w:t>
      </w:r>
      <w:r w:rsidRPr="00EE4D38">
        <w:rPr>
          <w:b/>
        </w:rPr>
        <w:t>Constituição Federal: Avanços, contribuições e modificações no processo democrático brasileiro</w:t>
      </w:r>
      <w:r w:rsidRPr="00EE4D38">
        <w:t>. Coordenação Ives Gandra Martins e Francisco Rezek.  São Paulo: Editora Revista dos Tribunais: CEI – Centro de Extensão Universitária, 2008. Páginas 845-846.</w:t>
      </w:r>
    </w:p>
  </w:footnote>
  <w:footnote w:id="5">
    <w:p w:rsidR="002D53FA" w:rsidRPr="001F0522" w:rsidRDefault="002D53FA" w:rsidP="00EE4D38">
      <w:pPr>
        <w:pStyle w:val="Textodenotaderodap"/>
        <w:rPr>
          <w:rFonts w:ascii="Arial" w:hAnsi="Arial"/>
        </w:rPr>
      </w:pPr>
      <w:r w:rsidRPr="00EE4D38">
        <w:rPr>
          <w:rStyle w:val="Refdenotaderodap"/>
        </w:rPr>
        <w:footnoteRef/>
      </w:r>
      <w:r w:rsidRPr="00EE4D38">
        <w:t xml:space="preserve"> PEREIRA, Tânia da Silva. </w:t>
      </w:r>
      <w:r w:rsidRPr="00EE4D38">
        <w:rPr>
          <w:b/>
        </w:rPr>
        <w:t>Direito da Criança e do Adolescente – Uma proposta interdisciplinar</w:t>
      </w:r>
      <w:r w:rsidRPr="00EE4D38">
        <w:t>. 2ª edição revista e atualizada. Rio de Janeiro: Renovar, 2008. Página 25.</w:t>
      </w:r>
    </w:p>
  </w:footnote>
  <w:footnote w:id="6">
    <w:p w:rsidR="00693344" w:rsidRPr="00EE4D38" w:rsidRDefault="00693344" w:rsidP="00693344">
      <w:pPr>
        <w:pStyle w:val="Textodenotaderodap"/>
      </w:pPr>
      <w:r w:rsidRPr="00EE4D38">
        <w:rPr>
          <w:rStyle w:val="Refdenotaderodap"/>
        </w:rPr>
        <w:footnoteRef/>
      </w:r>
      <w:r w:rsidRPr="00EE4D38">
        <w:t xml:space="preserve"> PEREIRA, Tânia da Silva. </w:t>
      </w:r>
      <w:r w:rsidRPr="00EE4D38">
        <w:rPr>
          <w:b/>
        </w:rPr>
        <w:t xml:space="preserve">O princípio do “melhor interesse da criança”: da teoria à prática. </w:t>
      </w:r>
      <w:r w:rsidRPr="00EE4D38">
        <w:t>Disponível em: &lt;http://www.gontijo-familia.adv.br/2008/artigos_pdf/Tania_da_Silva_Pereira/MelhorInteresse.pdf&gt;. Acesso em: 4.11.2013.</w:t>
      </w:r>
    </w:p>
  </w:footnote>
  <w:footnote w:id="7">
    <w:p w:rsidR="002D53FA" w:rsidRPr="00EE4D38" w:rsidRDefault="002D53FA" w:rsidP="002D53FA">
      <w:pPr>
        <w:ind w:firstLine="0"/>
        <w:rPr>
          <w:rFonts w:eastAsia="Times New Roman" w:cs="Arial"/>
          <w:sz w:val="20"/>
        </w:rPr>
      </w:pPr>
      <w:r w:rsidRPr="00EE4D38">
        <w:rPr>
          <w:rFonts w:cs="Arial"/>
          <w:sz w:val="20"/>
          <w:vertAlign w:val="superscript"/>
        </w:rPr>
        <w:footnoteRef/>
      </w:r>
      <w:r w:rsidRPr="00EE4D38">
        <w:rPr>
          <w:rFonts w:cs="Arial"/>
          <w:sz w:val="20"/>
        </w:rPr>
        <w:t xml:space="preserve"> A Convenção da ONU Sobre os Direitos das Crianças considera “criança” como todo ser </w:t>
      </w:r>
      <w:proofErr w:type="gramStart"/>
      <w:r w:rsidRPr="00EE4D38">
        <w:rPr>
          <w:rFonts w:cs="Arial"/>
          <w:sz w:val="20"/>
        </w:rPr>
        <w:t>humano com idade</w:t>
      </w:r>
      <w:proofErr w:type="gramEnd"/>
      <w:r w:rsidRPr="00EE4D38">
        <w:rPr>
          <w:rFonts w:cs="Arial"/>
          <w:sz w:val="20"/>
        </w:rPr>
        <w:t xml:space="preserve"> entre 0 e 18 anos.</w:t>
      </w:r>
    </w:p>
  </w:footnote>
  <w:footnote w:id="8">
    <w:p w:rsidR="00693344" w:rsidRPr="001F0522" w:rsidRDefault="00693344" w:rsidP="00693344">
      <w:pPr>
        <w:ind w:firstLine="0"/>
        <w:rPr>
          <w:rFonts w:ascii="Arial" w:eastAsia="Times New Roman" w:hAnsi="Arial" w:cs="Arial"/>
          <w:sz w:val="20"/>
        </w:rPr>
      </w:pPr>
      <w:r w:rsidRPr="00EE4D38">
        <w:rPr>
          <w:rFonts w:cs="Arial"/>
          <w:sz w:val="20"/>
          <w:vertAlign w:val="superscript"/>
        </w:rPr>
        <w:footnoteRef/>
      </w:r>
      <w:r w:rsidRPr="00EE4D38">
        <w:rPr>
          <w:rFonts w:cs="Arial"/>
          <w:sz w:val="20"/>
        </w:rPr>
        <w:t xml:space="preserve"> </w:t>
      </w:r>
      <w:r w:rsidRPr="00EE4D38">
        <w:rPr>
          <w:rFonts w:eastAsia="Times New Roman" w:cs="Arial"/>
          <w:sz w:val="20"/>
        </w:rPr>
        <w:t xml:space="preserve">PEREIRA, Tânia da Silva. </w:t>
      </w:r>
      <w:r w:rsidRPr="00EE4D38">
        <w:rPr>
          <w:rFonts w:eastAsia="Times New Roman" w:cs="Arial"/>
          <w:b/>
          <w:sz w:val="20"/>
        </w:rPr>
        <w:t>Direito da Criança e do Adolescente – Uma proposta interdisciplinar</w:t>
      </w:r>
      <w:r w:rsidRPr="00EE4D38">
        <w:rPr>
          <w:rFonts w:eastAsia="Times New Roman" w:cs="Arial"/>
          <w:sz w:val="20"/>
        </w:rPr>
        <w:t>. 2ª edição revista e atualizada. Rio de Janeiro: Renovar, 2008. Página 22.</w:t>
      </w:r>
    </w:p>
  </w:footnote>
  <w:footnote w:id="9">
    <w:p w:rsidR="00693344" w:rsidRPr="00EE4D38" w:rsidRDefault="00693344" w:rsidP="00693344">
      <w:pPr>
        <w:ind w:firstLine="0"/>
        <w:rPr>
          <w:rFonts w:eastAsia="Times New Roman" w:cs="Arial"/>
          <w:sz w:val="20"/>
        </w:rPr>
      </w:pPr>
      <w:r w:rsidRPr="00EE4D38">
        <w:rPr>
          <w:rFonts w:cs="Arial"/>
          <w:sz w:val="20"/>
          <w:vertAlign w:val="superscript"/>
        </w:rPr>
        <w:footnoteRef/>
      </w:r>
      <w:r w:rsidRPr="00EE4D38">
        <w:rPr>
          <w:rFonts w:cs="Arial"/>
          <w:sz w:val="20"/>
        </w:rPr>
        <w:t xml:space="preserve"> PIOVESAN, Flávia. </w:t>
      </w:r>
      <w:r w:rsidRPr="00EE4D38">
        <w:rPr>
          <w:rFonts w:cs="Arial"/>
          <w:b/>
          <w:sz w:val="20"/>
        </w:rPr>
        <w:t>Código de direito internacional dos direitos humanos anotado.</w:t>
      </w:r>
      <w:r w:rsidRPr="00EE4D38">
        <w:rPr>
          <w:rFonts w:cs="Arial"/>
          <w:sz w:val="20"/>
        </w:rPr>
        <w:t xml:space="preserve"> Coordenação geral Flávia Piovesan. São Paulo: DPJ Editora, 2008. Página 336.</w:t>
      </w:r>
    </w:p>
  </w:footnote>
  <w:footnote w:id="10">
    <w:p w:rsidR="00693344" w:rsidRPr="001F0522" w:rsidRDefault="00693344" w:rsidP="00693344">
      <w:pPr>
        <w:ind w:firstLine="0"/>
        <w:rPr>
          <w:rFonts w:ascii="Arial" w:eastAsia="Times New Roman" w:hAnsi="Arial" w:cs="Arial"/>
          <w:sz w:val="20"/>
        </w:rPr>
      </w:pPr>
      <w:r w:rsidRPr="00EE4D38">
        <w:rPr>
          <w:rFonts w:cs="Arial"/>
          <w:sz w:val="20"/>
          <w:vertAlign w:val="superscript"/>
        </w:rPr>
        <w:footnoteRef/>
      </w:r>
      <w:r w:rsidRPr="00EE4D38">
        <w:rPr>
          <w:rFonts w:cs="Arial"/>
          <w:sz w:val="20"/>
          <w:vertAlign w:val="superscript"/>
        </w:rPr>
        <w:t xml:space="preserve"> </w:t>
      </w:r>
      <w:r w:rsidRPr="00EE4D38">
        <w:rPr>
          <w:rFonts w:cs="Arial"/>
          <w:sz w:val="20"/>
        </w:rPr>
        <w:t xml:space="preserve">PIOVESAN, Flávia. </w:t>
      </w:r>
      <w:r w:rsidRPr="00EE4D38">
        <w:rPr>
          <w:rFonts w:cs="Arial"/>
          <w:b/>
          <w:sz w:val="20"/>
        </w:rPr>
        <w:t>Código de direito internacional dos direitos humanos anotado.</w:t>
      </w:r>
      <w:r w:rsidRPr="00EE4D38">
        <w:rPr>
          <w:rFonts w:cs="Arial"/>
          <w:sz w:val="20"/>
        </w:rPr>
        <w:t xml:space="preserve"> Coordenação geral Flávia Piovesan. São Paulo: DPJ Editora, 2008. Página 318.</w:t>
      </w:r>
    </w:p>
  </w:footnote>
  <w:footnote w:id="11">
    <w:p w:rsidR="00693344" w:rsidRPr="00EE4D38" w:rsidRDefault="00693344" w:rsidP="00693344">
      <w:pPr>
        <w:ind w:firstLine="0"/>
        <w:rPr>
          <w:rFonts w:cs="Arial"/>
          <w:sz w:val="20"/>
        </w:rPr>
      </w:pPr>
      <w:r w:rsidRPr="00EE4D38">
        <w:rPr>
          <w:rFonts w:cs="Arial"/>
          <w:sz w:val="20"/>
          <w:vertAlign w:val="superscript"/>
        </w:rPr>
        <w:footnoteRef/>
      </w:r>
      <w:r w:rsidRPr="00EE4D38">
        <w:rPr>
          <w:rFonts w:cs="Arial"/>
          <w:sz w:val="20"/>
        </w:rPr>
        <w:t xml:space="preserve"> CURY, Munir.</w:t>
      </w:r>
      <w:r w:rsidRPr="00EE4D38">
        <w:rPr>
          <w:rFonts w:cs="Arial"/>
          <w:b/>
          <w:sz w:val="20"/>
        </w:rPr>
        <w:t xml:space="preserve"> Estatuto da Criança e do Adolescente Comentado. Comentários jurídicos e sociais</w:t>
      </w:r>
      <w:r w:rsidRPr="00EE4D38">
        <w:rPr>
          <w:rFonts w:cs="Arial"/>
          <w:sz w:val="20"/>
        </w:rPr>
        <w:t>. 6ª edição. São Paulo: Editora Malheiros: 2003. Página 37.</w:t>
      </w:r>
    </w:p>
  </w:footnote>
  <w:footnote w:id="12">
    <w:p w:rsidR="00693344" w:rsidRPr="001F0522" w:rsidRDefault="00693344" w:rsidP="00693344">
      <w:pPr>
        <w:ind w:firstLine="0"/>
        <w:rPr>
          <w:rFonts w:ascii="Arial" w:hAnsi="Arial" w:cs="Arial"/>
          <w:sz w:val="20"/>
        </w:rPr>
      </w:pPr>
      <w:r w:rsidRPr="00EE4D38">
        <w:rPr>
          <w:rFonts w:cs="Arial"/>
          <w:sz w:val="20"/>
          <w:vertAlign w:val="superscript"/>
        </w:rPr>
        <w:footnoteRef/>
      </w:r>
      <w:r w:rsidRPr="00EE4D38">
        <w:rPr>
          <w:rFonts w:cs="Arial"/>
          <w:sz w:val="20"/>
        </w:rPr>
        <w:t xml:space="preserve"> CURY, Munir.</w:t>
      </w:r>
      <w:r w:rsidRPr="00EE4D38">
        <w:rPr>
          <w:rFonts w:cs="Arial"/>
          <w:b/>
          <w:sz w:val="20"/>
        </w:rPr>
        <w:t xml:space="preserve"> Estatuto da Criança e do Adolescente Comentado. Comentários jurídicos e sociais</w:t>
      </w:r>
      <w:r w:rsidRPr="00EE4D38">
        <w:rPr>
          <w:rFonts w:cs="Arial"/>
          <w:sz w:val="20"/>
        </w:rPr>
        <w:t>. 6ª edição. São Paulo: Editora Malheiros: 2003. Página 41.</w:t>
      </w:r>
    </w:p>
  </w:footnote>
  <w:footnote w:id="13">
    <w:p w:rsidR="002D53FA" w:rsidRPr="00EE4D38" w:rsidRDefault="002D53FA" w:rsidP="00EE4D38">
      <w:pPr>
        <w:pStyle w:val="Textodenotaderodap"/>
      </w:pPr>
      <w:r w:rsidRPr="00EE4D38">
        <w:rPr>
          <w:rStyle w:val="Refdenotaderodap"/>
        </w:rPr>
        <w:footnoteRef/>
      </w:r>
      <w:r w:rsidRPr="00EE4D38">
        <w:rPr>
          <w:lang w:val="en-US"/>
        </w:rPr>
        <w:t xml:space="preserve"> </w:t>
      </w:r>
      <w:proofErr w:type="gramStart"/>
      <w:r w:rsidRPr="00EE4D38">
        <w:rPr>
          <w:lang w:val="en-US"/>
        </w:rPr>
        <w:t xml:space="preserve">BJURSTRÖM, </w:t>
      </w:r>
      <w:proofErr w:type="spellStart"/>
      <w:r w:rsidRPr="00EE4D38">
        <w:rPr>
          <w:lang w:val="en-US"/>
        </w:rPr>
        <w:t>Erling</w:t>
      </w:r>
      <w:proofErr w:type="spellEnd"/>
      <w:r w:rsidRPr="00EE4D38">
        <w:rPr>
          <w:lang w:val="en-US"/>
        </w:rPr>
        <w:t xml:space="preserve">, </w:t>
      </w:r>
      <w:r w:rsidRPr="00EE4D38">
        <w:rPr>
          <w:b/>
          <w:lang w:val="en-US"/>
        </w:rPr>
        <w:t>Children and television advertising.</w:t>
      </w:r>
      <w:proofErr w:type="gramEnd"/>
      <w:r w:rsidRPr="00EE4D38">
        <w:rPr>
          <w:lang w:val="en-US"/>
        </w:rPr>
        <w:t xml:space="preserve"> </w:t>
      </w:r>
      <w:r w:rsidRPr="00EE4D38">
        <w:t>Disponível em &lt;http://www.andi.org.br/sites/default/files/legislacao/59%20-%</w:t>
      </w:r>
      <w:proofErr w:type="gramStart"/>
      <w:r w:rsidRPr="00EE4D38">
        <w:t>20Children</w:t>
      </w:r>
      <w:proofErr w:type="gramEnd"/>
      <w:r w:rsidRPr="00EE4D38">
        <w:t>%20and%20Television%20Advertising_0.pdf&gt;. Acesso em 4.11.2013.</w:t>
      </w:r>
    </w:p>
  </w:footnote>
  <w:footnote w:id="14">
    <w:p w:rsidR="002D53FA" w:rsidRPr="001F0522" w:rsidRDefault="002D53FA" w:rsidP="00EE4D38">
      <w:pPr>
        <w:pStyle w:val="Textodenotaderodap"/>
        <w:rPr>
          <w:rFonts w:ascii="Arial" w:hAnsi="Arial"/>
        </w:rPr>
      </w:pPr>
      <w:r w:rsidRPr="00EE4D38">
        <w:rPr>
          <w:rStyle w:val="Refdenotaderodap"/>
        </w:rPr>
        <w:footnoteRef/>
      </w:r>
      <w:r w:rsidRPr="00EE4D38">
        <w:t xml:space="preserve"> </w:t>
      </w:r>
      <w:r w:rsidRPr="00EE4D38">
        <w:rPr>
          <w:iCs/>
        </w:rPr>
        <w:t xml:space="preserve"> TAVARES, Jose de Farias.</w:t>
      </w:r>
      <w:r w:rsidRPr="00EE4D38">
        <w:rPr>
          <w:b/>
          <w:iCs/>
        </w:rPr>
        <w:t xml:space="preserve"> </w:t>
      </w:r>
      <w:r w:rsidRPr="00EE4D38">
        <w:rPr>
          <w:b/>
        </w:rPr>
        <w:t>Direito da Infância e da Juventude</w:t>
      </w:r>
      <w:r w:rsidRPr="00EE4D38">
        <w:t xml:space="preserve">. </w:t>
      </w:r>
      <w:r w:rsidRPr="00EE4D38">
        <w:rPr>
          <w:lang w:val="es-AR"/>
        </w:rPr>
        <w:t xml:space="preserve">Belo Horizonte: Editora Del Rey, 2001. </w:t>
      </w:r>
      <w:r w:rsidRPr="00EE4D38">
        <w:t>Página 32.</w:t>
      </w:r>
    </w:p>
  </w:footnote>
  <w:footnote w:id="15">
    <w:p w:rsidR="002D53FA" w:rsidRPr="00EE4D38" w:rsidRDefault="002D53FA" w:rsidP="00EE4D38">
      <w:pPr>
        <w:pStyle w:val="Textodenotaderodap"/>
      </w:pPr>
      <w:r w:rsidRPr="00EE4D38">
        <w:rPr>
          <w:rStyle w:val="Refdenotaderodap"/>
        </w:rPr>
        <w:footnoteRef/>
      </w:r>
      <w:r w:rsidRPr="00EE4D38">
        <w:t xml:space="preserve"> BENJAMIN, </w:t>
      </w:r>
      <w:r w:rsidRPr="00EE4D38">
        <w:rPr>
          <w:iCs/>
        </w:rPr>
        <w:t xml:space="preserve">Antônio Herman de Vasconcellos e. </w:t>
      </w:r>
      <w:r w:rsidRPr="00EE4D38">
        <w:rPr>
          <w:b/>
        </w:rPr>
        <w:t>Código Brasileiro de Defesa do Consumidor comentado pelos Autores do Anteprojeto.</w:t>
      </w:r>
      <w:r w:rsidRPr="00EE4D38">
        <w:t xml:space="preserve"> São Paulo: Editora Forense. Páginas 299-300.</w:t>
      </w:r>
    </w:p>
  </w:footnote>
  <w:footnote w:id="16">
    <w:p w:rsidR="002D53FA" w:rsidRPr="00EE4D38" w:rsidRDefault="002D53FA" w:rsidP="00EE4D38">
      <w:pPr>
        <w:pStyle w:val="Textodenotaderodap"/>
      </w:pPr>
      <w:r w:rsidRPr="00EE4D38">
        <w:rPr>
          <w:rStyle w:val="Refdenotaderodap"/>
        </w:rPr>
        <w:footnoteRef/>
      </w:r>
      <w:r w:rsidRPr="00EE4D38">
        <w:t xml:space="preserve"> Audiência Pública n° 1388/07, em 30/08/2007, ‘Debate sobre publicidade infantil’.</w:t>
      </w:r>
    </w:p>
  </w:footnote>
  <w:footnote w:id="17">
    <w:p w:rsidR="002D53FA" w:rsidRPr="00EE4D38" w:rsidRDefault="002D53FA" w:rsidP="00EE4D38">
      <w:pPr>
        <w:pStyle w:val="Textodenotaderodap"/>
        <w:rPr>
          <w:u w:val="single"/>
        </w:rPr>
      </w:pPr>
      <w:r w:rsidRPr="00EE4D38">
        <w:rPr>
          <w:rStyle w:val="Refdenotaderodap"/>
        </w:rPr>
        <w:footnoteRef/>
      </w:r>
      <w:r w:rsidRPr="00EE4D38">
        <w:t xml:space="preserve"> GUIMARÃES, Paulo Jorge </w:t>
      </w:r>
      <w:proofErr w:type="spellStart"/>
      <w:r w:rsidRPr="00EE4D38">
        <w:t>Scartezzini</w:t>
      </w:r>
      <w:proofErr w:type="spellEnd"/>
      <w:r w:rsidRPr="00EE4D38">
        <w:t xml:space="preserve">. </w:t>
      </w:r>
      <w:r w:rsidRPr="00EE4D38">
        <w:rPr>
          <w:b/>
        </w:rPr>
        <w:t xml:space="preserve">A publicidade ilícita e a responsabilidade civil das celebridades que dela participam. </w:t>
      </w:r>
      <w:r w:rsidRPr="00EE4D38">
        <w:t>São Paulo, SP: Editora Revista dos Tribunais, Biblioteca de Direito do Consumidor, volume 6. Página 136.</w:t>
      </w:r>
    </w:p>
  </w:footnote>
  <w:footnote w:id="18">
    <w:p w:rsidR="00693344" w:rsidRPr="00EE4D38" w:rsidRDefault="00693344" w:rsidP="00693344">
      <w:pPr>
        <w:pStyle w:val="Textodenotaderodap"/>
      </w:pPr>
      <w:r w:rsidRPr="00EE4D38">
        <w:rPr>
          <w:rStyle w:val="Refdenotaderodap"/>
        </w:rPr>
        <w:footnoteRef/>
      </w:r>
      <w:r w:rsidRPr="00EE4D38">
        <w:t xml:space="preserve"> LEVISKY, David Léo. “A mídia – interferências no aparelho psíquico” em Adolescência – pelos caminhos da violência: a psicanálise na prática social. São Paulo, SP:  Ed. Casa do Psicólogo, 1998. Página 146.</w:t>
      </w:r>
    </w:p>
  </w:footnote>
  <w:footnote w:id="19">
    <w:p w:rsidR="002D53FA" w:rsidRPr="00EE4D38" w:rsidRDefault="002D53FA" w:rsidP="00EE4D38">
      <w:pPr>
        <w:pStyle w:val="Textodenotaderodap"/>
      </w:pPr>
      <w:r w:rsidRPr="00EE4D38">
        <w:rPr>
          <w:rStyle w:val="Refdenotaderodap"/>
        </w:rPr>
        <w:footnoteRef/>
      </w:r>
      <w:r w:rsidRPr="00EE4D38">
        <w:t xml:space="preserve"> Conforme o seguinte dispositivo do Código Civil:</w:t>
      </w:r>
    </w:p>
    <w:p w:rsidR="002D53FA" w:rsidRPr="00EE4D38" w:rsidRDefault="002D53FA" w:rsidP="00EE4D38">
      <w:pPr>
        <w:pStyle w:val="Textodenotaderodap"/>
      </w:pPr>
      <w:proofErr w:type="gramStart"/>
      <w:r w:rsidRPr="00EE4D38">
        <w:t>“Artigo.</w:t>
      </w:r>
      <w:proofErr w:type="gramEnd"/>
      <w:r w:rsidRPr="00EE4D38">
        <w:t xml:space="preserve"> 3º. São absolutamente incapazes de exercer pessoalmente os atos da vida civil:</w:t>
      </w:r>
    </w:p>
    <w:p w:rsidR="002D53FA" w:rsidRPr="001F0522" w:rsidRDefault="002D53FA" w:rsidP="00EE4D38">
      <w:pPr>
        <w:pStyle w:val="Textodenotaderodap"/>
        <w:rPr>
          <w:rFonts w:ascii="Arial" w:hAnsi="Arial"/>
        </w:rPr>
      </w:pPr>
      <w:r w:rsidRPr="00EE4D38">
        <w:t>I – os menores de dezesseis anos; (</w:t>
      </w:r>
      <w:proofErr w:type="gramStart"/>
      <w:r w:rsidRPr="00EE4D38">
        <w:t>...)”</w:t>
      </w:r>
      <w:proofErr w:type="gramEnd"/>
      <w:r w:rsidRPr="00EE4D38">
        <w:t>.</w:t>
      </w:r>
    </w:p>
  </w:footnote>
  <w:footnote w:id="20">
    <w:p w:rsidR="00693344" w:rsidRPr="00EE4D38" w:rsidRDefault="00693344" w:rsidP="00693344">
      <w:pPr>
        <w:ind w:firstLine="0"/>
        <w:rPr>
          <w:rFonts w:cs="Arial"/>
          <w:sz w:val="20"/>
        </w:rPr>
      </w:pPr>
      <w:r w:rsidRPr="00EE4D38">
        <w:rPr>
          <w:rStyle w:val="Refdenotaderodap"/>
          <w:rFonts w:cs="Arial"/>
          <w:sz w:val="20"/>
        </w:rPr>
        <w:footnoteRef/>
      </w:r>
      <w:r w:rsidRPr="00EE4D38">
        <w:rPr>
          <w:rFonts w:cs="Arial"/>
          <w:sz w:val="20"/>
        </w:rPr>
        <w:t xml:space="preserve"> PEREIRA, Tânia da Silva. </w:t>
      </w:r>
      <w:r w:rsidRPr="00EE4D38">
        <w:rPr>
          <w:rFonts w:cs="Arial"/>
          <w:b/>
          <w:sz w:val="20"/>
        </w:rPr>
        <w:t>Direito da Criança e do Adolescente – Uma proposta interdisciplinar</w:t>
      </w:r>
      <w:r w:rsidRPr="00EE4D38">
        <w:rPr>
          <w:rFonts w:cs="Arial"/>
          <w:sz w:val="20"/>
        </w:rPr>
        <w:t>. 2ª edição revista e atualizada. Rio de Janeiro, RJ: Renovar, 2008. Páginas 127 e 128.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lowerLetter"/>
      <w:suff w:val="nothing"/>
      <w:lvlText w:val="%1)"/>
      <w:lvlJc w:val="left"/>
      <w:pPr>
        <w:ind w:left="0" w:firstLine="16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1A1C5E59"/>
    <w:multiLevelType w:val="hybridMultilevel"/>
    <w:tmpl w:val="C7D6D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C9F"/>
    <w:multiLevelType w:val="multilevel"/>
    <w:tmpl w:val="0D22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4E4E03"/>
    <w:multiLevelType w:val="hybridMultilevel"/>
    <w:tmpl w:val="3EE41E8A"/>
    <w:lvl w:ilvl="0" w:tplc="ECD6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540A5"/>
    <w:multiLevelType w:val="multilevel"/>
    <w:tmpl w:val="534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EE5455"/>
    <w:multiLevelType w:val="hybridMultilevel"/>
    <w:tmpl w:val="20D27840"/>
    <w:lvl w:ilvl="0" w:tplc="491E7AD8">
      <w:start w:val="1"/>
      <w:numFmt w:val="upperRoman"/>
      <w:lvlText w:val="%1."/>
      <w:lvlJc w:val="left"/>
      <w:pPr>
        <w:ind w:left="1004" w:hanging="72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C6"/>
    <w:rsid w:val="000230C0"/>
    <w:rsid w:val="00090709"/>
    <w:rsid w:val="00157A13"/>
    <w:rsid w:val="001A117E"/>
    <w:rsid w:val="001A4D5B"/>
    <w:rsid w:val="001C0882"/>
    <w:rsid w:val="001E7C6D"/>
    <w:rsid w:val="00211CBF"/>
    <w:rsid w:val="0024484B"/>
    <w:rsid w:val="00247A6C"/>
    <w:rsid w:val="00296B2B"/>
    <w:rsid w:val="002B667F"/>
    <w:rsid w:val="002D53FA"/>
    <w:rsid w:val="002F5217"/>
    <w:rsid w:val="002F7B8D"/>
    <w:rsid w:val="003A0394"/>
    <w:rsid w:val="003B0697"/>
    <w:rsid w:val="003C2013"/>
    <w:rsid w:val="003D641D"/>
    <w:rsid w:val="004661DB"/>
    <w:rsid w:val="004C2258"/>
    <w:rsid w:val="00504BA1"/>
    <w:rsid w:val="00530030"/>
    <w:rsid w:val="005551EE"/>
    <w:rsid w:val="00612D97"/>
    <w:rsid w:val="0061726C"/>
    <w:rsid w:val="00693344"/>
    <w:rsid w:val="006B735B"/>
    <w:rsid w:val="006D330E"/>
    <w:rsid w:val="00722B73"/>
    <w:rsid w:val="00735887"/>
    <w:rsid w:val="0076344C"/>
    <w:rsid w:val="007A26D6"/>
    <w:rsid w:val="008669B1"/>
    <w:rsid w:val="008912C6"/>
    <w:rsid w:val="00907089"/>
    <w:rsid w:val="00934754"/>
    <w:rsid w:val="009652BE"/>
    <w:rsid w:val="00971C6D"/>
    <w:rsid w:val="0097246A"/>
    <w:rsid w:val="00976927"/>
    <w:rsid w:val="0098122F"/>
    <w:rsid w:val="00983995"/>
    <w:rsid w:val="009D1477"/>
    <w:rsid w:val="00A11BBD"/>
    <w:rsid w:val="00A22506"/>
    <w:rsid w:val="00A43A3A"/>
    <w:rsid w:val="00A77627"/>
    <w:rsid w:val="00A84337"/>
    <w:rsid w:val="00AA1BB8"/>
    <w:rsid w:val="00AA442E"/>
    <w:rsid w:val="00AD426D"/>
    <w:rsid w:val="00AE2EC7"/>
    <w:rsid w:val="00B028F9"/>
    <w:rsid w:val="00B07A6B"/>
    <w:rsid w:val="00B20D76"/>
    <w:rsid w:val="00B352F0"/>
    <w:rsid w:val="00BA7FC9"/>
    <w:rsid w:val="00BB6098"/>
    <w:rsid w:val="00BC1D7C"/>
    <w:rsid w:val="00BD6A69"/>
    <w:rsid w:val="00BE3B8A"/>
    <w:rsid w:val="00C43F76"/>
    <w:rsid w:val="00C54242"/>
    <w:rsid w:val="00C55B29"/>
    <w:rsid w:val="00C733E5"/>
    <w:rsid w:val="00C83772"/>
    <w:rsid w:val="00C845C4"/>
    <w:rsid w:val="00CE1F98"/>
    <w:rsid w:val="00CF351C"/>
    <w:rsid w:val="00D26856"/>
    <w:rsid w:val="00D330E2"/>
    <w:rsid w:val="00D539B0"/>
    <w:rsid w:val="00DA07AC"/>
    <w:rsid w:val="00DA315F"/>
    <w:rsid w:val="00DA4768"/>
    <w:rsid w:val="00DB4287"/>
    <w:rsid w:val="00DE66A8"/>
    <w:rsid w:val="00E33B26"/>
    <w:rsid w:val="00E9425E"/>
    <w:rsid w:val="00EA0103"/>
    <w:rsid w:val="00EE0F85"/>
    <w:rsid w:val="00EE4D38"/>
    <w:rsid w:val="00F32929"/>
    <w:rsid w:val="00F50941"/>
    <w:rsid w:val="00F52344"/>
    <w:rsid w:val="00F74C64"/>
    <w:rsid w:val="00F80500"/>
    <w:rsid w:val="00F8309C"/>
    <w:rsid w:val="00FB3548"/>
    <w:rsid w:val="00FC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EE4D38"/>
    <w:pPr>
      <w:ind w:firstLine="0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D38"/>
    <w:rPr>
      <w:rFonts w:cs="Arial"/>
      <w:sz w:val="20"/>
    </w:rPr>
  </w:style>
  <w:style w:type="character" w:styleId="TextodoEspaoReservado">
    <w:name w:val="Placeholder Text"/>
    <w:basedOn w:val="Fontepargpadro"/>
    <w:uiPriority w:val="99"/>
    <w:semiHidden/>
    <w:rsid w:val="008912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2C6"/>
    <w:pPr>
      <w:ind w:left="720"/>
      <w:contextualSpacing/>
    </w:pPr>
  </w:style>
  <w:style w:type="character" w:styleId="Refdenotaderodap">
    <w:name w:val="footnote reference"/>
    <w:rsid w:val="00B20D76"/>
    <w:rPr>
      <w:vertAlign w:val="superscript"/>
    </w:rPr>
  </w:style>
  <w:style w:type="character" w:styleId="Hyperlink">
    <w:name w:val="Hyperlink"/>
    <w:rsid w:val="00B20D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6A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6A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6A8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B35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52F0"/>
  </w:style>
  <w:style w:type="paragraph" w:customStyle="1" w:styleId="Default">
    <w:name w:val="Default"/>
    <w:rsid w:val="00983995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915F-3EC0-4982-800D-2C715EB8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4515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leticia.vella</cp:lastModifiedBy>
  <cp:revision>2</cp:revision>
  <dcterms:created xsi:type="dcterms:W3CDTF">2014-05-20T14:32:00Z</dcterms:created>
  <dcterms:modified xsi:type="dcterms:W3CDTF">2014-05-20T14:32:00Z</dcterms:modified>
</cp:coreProperties>
</file>